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297" w:type="dxa"/>
        <w:tblInd w:w="-11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"/>
        <w:gridCol w:w="3686"/>
        <w:gridCol w:w="851"/>
        <w:gridCol w:w="1134"/>
        <w:gridCol w:w="1384"/>
        <w:gridCol w:w="1546"/>
        <w:gridCol w:w="897"/>
        <w:gridCol w:w="851"/>
        <w:gridCol w:w="850"/>
        <w:gridCol w:w="851"/>
        <w:gridCol w:w="1134"/>
        <w:gridCol w:w="992"/>
        <w:gridCol w:w="709"/>
        <w:gridCol w:w="1134"/>
      </w:tblGrid>
      <w:tr w:rsidR="00770824" w:rsidTr="00770824">
        <w:trPr>
          <w:trHeight w:val="567"/>
        </w:trPr>
        <w:tc>
          <w:tcPr>
            <w:tcW w:w="162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 w:rsidP="00770824">
            <w:pPr>
              <w:spacing w:after="0" w:line="240" w:lineRule="auto"/>
              <w:ind w:right="-1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Pakiet 1 - Zestaw do przetaczania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</w:rPr>
              <w:t>Kod CPV:</w:t>
            </w:r>
            <w:r>
              <w:rPr>
                <w:rFonts w:ascii="Times New Roman" w:hAnsi="Times New Roman"/>
                <w:b/>
              </w:rPr>
              <w:t xml:space="preserve"> 33141000-0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70824" w:rsidTr="00770824">
        <w:trPr>
          <w:trHeight w:val="1427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 w:rsidP="00770824">
            <w:pPr>
              <w:ind w:left="-555" w:right="-348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Lp.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Zapotrzebowanie na 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24 m-ce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Podatek VAT 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w zł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Ilość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próbek w 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 w:rsidP="00770824">
            <w:pPr>
              <w:spacing w:after="0" w:line="240" w:lineRule="auto"/>
              <w:ind w:right="-15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Okres</w:t>
            </w:r>
          </w:p>
          <w:p w:rsidR="00770824" w:rsidRDefault="00770824" w:rsidP="00770824">
            <w:pPr>
              <w:tabs>
                <w:tab w:val="left" w:pos="826"/>
              </w:tabs>
              <w:spacing w:after="0" w:line="240" w:lineRule="auto"/>
              <w:ind w:right="-15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gwarancji/</w:t>
            </w:r>
          </w:p>
          <w:p w:rsidR="00770824" w:rsidRDefault="00770824" w:rsidP="00770824">
            <w:pPr>
              <w:spacing w:after="0" w:line="240" w:lineRule="auto"/>
              <w:ind w:left="-495" w:right="-15" w:firstLine="56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termin</w:t>
            </w:r>
          </w:p>
          <w:p w:rsidR="00770824" w:rsidRDefault="00770824" w:rsidP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770824" w:rsidTr="00770824">
        <w:trPr>
          <w:trHeight w:val="474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0824" w:rsidRPr="00770824" w:rsidRDefault="00770824" w:rsidP="00770824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lang w:eastAsia="en-US"/>
              </w:rPr>
            </w:pPr>
            <w:r w:rsidRPr="00770824">
              <w:rPr>
                <w:rFonts w:ascii="Times New Roman" w:hAnsi="Times New Roman"/>
                <w:lang w:eastAsia="en-US"/>
              </w:rPr>
              <w:t xml:space="preserve">Przyrząd do przetaczania krwi </w:t>
            </w:r>
            <w:r w:rsidRPr="00770824">
              <w:rPr>
                <w:rFonts w:ascii="Times New Roman" w:hAnsi="Times New Roman"/>
                <w:lang w:eastAsia="en-US"/>
              </w:rPr>
              <w:br/>
              <w:t xml:space="preserve">i preparatów krwiopochodnych, jałowy, jednorazowego użycia, wolny od ftalanów, posiadający odpowietrznik </w:t>
            </w:r>
            <w:r>
              <w:rPr>
                <w:rFonts w:ascii="Times New Roman" w:hAnsi="Times New Roman"/>
                <w:lang w:eastAsia="en-US"/>
              </w:rPr>
              <w:br/>
            </w:r>
            <w:r w:rsidRPr="00770824">
              <w:rPr>
                <w:rFonts w:ascii="Times New Roman" w:hAnsi="Times New Roman"/>
                <w:lang w:eastAsia="en-US"/>
              </w:rPr>
              <w:t>z filtrem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770824">
              <w:rPr>
                <w:rFonts w:ascii="Times New Roman" w:hAnsi="Times New Roman"/>
                <w:lang w:eastAsia="en-US"/>
              </w:rPr>
              <w:t>antybak</w:t>
            </w:r>
            <w:r w:rsidRPr="00770824">
              <w:rPr>
                <w:rFonts w:ascii="Times New Roman" w:hAnsi="Times New Roman"/>
                <w:color w:val="000000"/>
                <w:lang w:eastAsia="en-US"/>
              </w:rPr>
              <w:t xml:space="preserve">teryjnym, filtr krwi, końcówkę LUER-LOOK, zaciskacz pozwalający precyzyjnie dozować </w:t>
            </w:r>
            <w:r w:rsidRPr="00770824">
              <w:rPr>
                <w:rFonts w:ascii="Times New Roman" w:hAnsi="Times New Roman"/>
                <w:lang w:eastAsia="en-US"/>
              </w:rPr>
              <w:t xml:space="preserve">lub </w:t>
            </w:r>
            <w:r w:rsidRPr="00770824">
              <w:rPr>
                <w:rFonts w:ascii="Times New Roman" w:hAnsi="Times New Roman"/>
                <w:color w:val="000000"/>
                <w:lang w:eastAsia="en-US"/>
              </w:rPr>
              <w:t xml:space="preserve">zatrzymać podawany płyn, z elastyczną komorą kroplową wolną od PCV. </w:t>
            </w:r>
            <w:r w:rsidRPr="00770824">
              <w:rPr>
                <w:rFonts w:ascii="Times New Roman" w:hAnsi="Times New Roman"/>
                <w:lang w:eastAsia="en-US"/>
              </w:rPr>
              <w:t xml:space="preserve">Oba końce zabezpieczone zatyczkami </w:t>
            </w:r>
            <w:r>
              <w:rPr>
                <w:rFonts w:ascii="Times New Roman" w:hAnsi="Times New Roman"/>
                <w:lang w:eastAsia="en-US"/>
              </w:rPr>
              <w:br/>
            </w:r>
            <w:r w:rsidRPr="00770824">
              <w:rPr>
                <w:rFonts w:ascii="Times New Roman" w:hAnsi="Times New Roman"/>
                <w:lang w:eastAsia="en-US"/>
              </w:rPr>
              <w:t>z przełącznikiem otwarty/zamknięty. Pakowany pojedynczo, z możliwością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770824">
              <w:rPr>
                <w:rFonts w:ascii="Times New Roman" w:hAnsi="Times New Roman"/>
                <w:lang w:eastAsia="en-US"/>
              </w:rPr>
              <w:t>aseptycznego otwierania, na każdym jednostkowym opakowaniu umieszczona data ważności.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17 000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70824" w:rsidTr="00770824">
        <w:trPr>
          <w:trHeight w:val="474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Theme="minorEastAsia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0824" w:rsidRPr="00770824" w:rsidRDefault="00770824" w:rsidP="00770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en-US"/>
              </w:rPr>
            </w:pPr>
            <w:r w:rsidRPr="00770824">
              <w:rPr>
                <w:rFonts w:ascii="Times New Roman" w:hAnsi="Times New Roman"/>
                <w:lang w:eastAsia="en-US"/>
              </w:rPr>
              <w:t>Przyrząd do przetaczania płynów infuzyjnych i preparatów krwiopochodnych.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770824">
              <w:rPr>
                <w:rFonts w:ascii="Times New Roman" w:hAnsi="Times New Roman"/>
                <w:lang w:eastAsia="en-US"/>
              </w:rPr>
              <w:t>Jałowy, z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770824">
              <w:rPr>
                <w:rFonts w:ascii="Times New Roman" w:hAnsi="Times New Roman"/>
                <w:lang w:eastAsia="en-US"/>
              </w:rPr>
              <w:t xml:space="preserve">możliwością aseptycznego otwierania. Cały aparat wolny od PCV; w tym od ftalanów, oraz wolny od lateksu. Musi posiadać odpowietrznik z filtrem bakteryjnym min BFE 99,99, filtr płynu </w:t>
            </w:r>
            <w:r w:rsidRPr="00770824">
              <w:rPr>
                <w:rFonts w:ascii="Times New Roman" w:hAnsi="Times New Roman"/>
                <w:lang w:eastAsia="en-US"/>
              </w:rPr>
              <w:lastRenderedPageBreak/>
              <w:t xml:space="preserve">15 µm. Zaciskacz pozwalający na precyzyjne dozowanie i zatrzymanie płynu, pozostający trwale w ustawionej pozycji. Komora kroplowa dzielona na elastyczną część dolną i twardą część górną. Przyrząd w całości- łącznie </w:t>
            </w:r>
            <w:r>
              <w:rPr>
                <w:rFonts w:ascii="Times New Roman" w:hAnsi="Times New Roman"/>
                <w:lang w:eastAsia="en-US"/>
              </w:rPr>
              <w:br/>
            </w:r>
            <w:r w:rsidRPr="00770824">
              <w:rPr>
                <w:rFonts w:ascii="Times New Roman" w:hAnsi="Times New Roman"/>
                <w:lang w:eastAsia="en-US"/>
              </w:rPr>
              <w:t>z kolcem i końcówką przezroczysty, umożliwiający kontrolę wzrokową przepływu na całej długości drenu. Całkowita długość drenu min.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770824">
              <w:rPr>
                <w:rFonts w:ascii="Times New Roman" w:hAnsi="Times New Roman"/>
                <w:lang w:eastAsia="en-US"/>
              </w:rPr>
              <w:t>150 cm. Przyrząd pakowany pojedynczo, na każdym opakowaniu jednostkowym data ważności, nr katalogowy i dane producenta.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300 000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70824" w:rsidTr="00770824">
        <w:trPr>
          <w:trHeight w:val="1185"/>
        </w:trPr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2F1EDF">
            <w:pPr>
              <w:jc w:val="center"/>
              <w:rPr>
                <w:rFonts w:ascii="Times New Roman" w:eastAsiaTheme="minorEastAsia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0824" w:rsidRPr="00770824" w:rsidRDefault="00770824" w:rsidP="00770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en-US"/>
              </w:rPr>
            </w:pPr>
            <w:r w:rsidRPr="00770824">
              <w:rPr>
                <w:rFonts w:ascii="Times New Roman" w:hAnsi="Times New Roman"/>
                <w:lang w:eastAsia="en-US"/>
              </w:rPr>
              <w:t xml:space="preserve">Przedłużacz do pomp infuzyjnych (biały </w:t>
            </w:r>
            <w:r w:rsidRPr="00770824">
              <w:rPr>
                <w:rFonts w:ascii="Times New Roman" w:hAnsi="Times New Roman"/>
                <w:lang w:eastAsia="en-US"/>
              </w:rPr>
              <w:br/>
              <w:t xml:space="preserve">i bursztynowy), jałowy, wolny od ftalanów, jednorazowego użycia, pakowany pojedynczo, nie krótszy niż </w:t>
            </w:r>
            <w:smartTag w:uri="urn:schemas-microsoft-com:office:smarttags" w:element="metricconverter">
              <w:smartTagPr>
                <w:attr w:name="ProductID" w:val="150 cm"/>
              </w:smartTagPr>
              <w:r w:rsidRPr="00770824">
                <w:rPr>
                  <w:rFonts w:ascii="Times New Roman" w:hAnsi="Times New Roman"/>
                  <w:lang w:eastAsia="en-US"/>
                </w:rPr>
                <w:t>150 cm</w:t>
              </w:r>
            </w:smartTag>
            <w:r w:rsidRPr="00770824">
              <w:rPr>
                <w:rFonts w:ascii="Times New Roman" w:hAnsi="Times New Roman"/>
                <w:lang w:eastAsia="en-US"/>
              </w:rPr>
              <w:t xml:space="preserve">. Pakowany pojedynczo, </w:t>
            </w:r>
            <w:r w:rsidRPr="00770824">
              <w:rPr>
                <w:rFonts w:ascii="Times New Roman" w:hAnsi="Times New Roman"/>
                <w:lang w:eastAsia="en-US"/>
              </w:rPr>
              <w:br/>
              <w:t>z możliwością aseptycznego otwierania, na każdym jednostkowym opakowaniu umieszczona data ważności.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 w:rsidP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biały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22 600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70824" w:rsidTr="00770824">
        <w:trPr>
          <w:trHeight w:val="1116"/>
        </w:trPr>
        <w:tc>
          <w:tcPr>
            <w:tcW w:w="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spacing w:after="0" w:line="256" w:lineRule="auto"/>
              <w:rPr>
                <w:rFonts w:ascii="Times New Roman" w:eastAsiaTheme="minorEastAsia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Pr="00770824" w:rsidRDefault="00770824">
            <w:pPr>
              <w:spacing w:after="0" w:line="256" w:lineRule="auto"/>
              <w:rPr>
                <w:rFonts w:ascii="Times New Roman" w:eastAsiaTheme="minorEastAsia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 w:rsidP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bursztyn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4 600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70824" w:rsidTr="00770824">
        <w:trPr>
          <w:trHeight w:val="474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2F1EDF">
            <w:pPr>
              <w:jc w:val="center"/>
              <w:rPr>
                <w:rFonts w:ascii="Times New Roman" w:eastAsiaTheme="minorEastAsia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0824" w:rsidRPr="00770824" w:rsidRDefault="00770824" w:rsidP="00770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en-US"/>
              </w:rPr>
            </w:pPr>
            <w:r w:rsidRPr="00770824">
              <w:rPr>
                <w:rFonts w:ascii="Times New Roman" w:hAnsi="Times New Roman"/>
                <w:color w:val="000000"/>
                <w:lang w:eastAsia="en-US"/>
              </w:rPr>
              <w:t xml:space="preserve">Przyrząd do przetaczania krwi i płynów infuzyjnych, jałowy, jednorazowego użycia z możliwością pomiaru OCŻ, ze skalą pomiaru. Pakowany pojedynczo, </w:t>
            </w:r>
            <w:r w:rsidRPr="00770824">
              <w:rPr>
                <w:rFonts w:ascii="Times New Roman" w:hAnsi="Times New Roman"/>
                <w:color w:val="000000"/>
                <w:lang w:eastAsia="en-US"/>
              </w:rPr>
              <w:br/>
              <w:t xml:space="preserve">z możliwością aseptycznego otwierania, na każdym jednostkowym opakowaniu </w:t>
            </w:r>
            <w:r w:rsidRPr="00770824">
              <w:rPr>
                <w:rFonts w:ascii="Times New Roman" w:hAnsi="Times New Roman"/>
                <w:color w:val="000000"/>
                <w:lang w:eastAsia="en-US"/>
              </w:rPr>
              <w:lastRenderedPageBreak/>
              <w:t xml:space="preserve">umieszczona data ważności.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450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70824" w:rsidTr="00770824">
        <w:trPr>
          <w:trHeight w:val="474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2F1EDF">
            <w:pPr>
              <w:jc w:val="center"/>
              <w:rPr>
                <w:rFonts w:ascii="Times New Roman" w:eastAsiaTheme="minorEastAsia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0824" w:rsidRPr="00770824" w:rsidRDefault="00770824" w:rsidP="00770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en-US"/>
              </w:rPr>
            </w:pPr>
            <w:r w:rsidRPr="00770824">
              <w:rPr>
                <w:rFonts w:ascii="Times New Roman" w:hAnsi="Times New Roman"/>
                <w:color w:val="000000"/>
                <w:lang w:eastAsia="en-US"/>
              </w:rPr>
              <w:t xml:space="preserve">Przyrząd do szybkiego przetaczania krwi i preparatów krwiopochodnych, jałowy, wolny od ftalanów, jednorazowego użycia. Pakowany pojedynczo, z możliwością aseptycznego otwierania, na każdym jednostkowym opakowaniu umieszczona data ważności.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150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70824" w:rsidTr="00770824">
        <w:trPr>
          <w:trHeight w:val="303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 w:cstheme="minorBidi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Pr="00770824" w:rsidRDefault="00770824" w:rsidP="00770824">
            <w:pPr>
              <w:jc w:val="righ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770824">
              <w:rPr>
                <w:rFonts w:ascii="Times New Roman" w:hAnsi="Times New Roman"/>
                <w:b/>
                <w:bCs/>
                <w:lang w:eastAsia="en-US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770824" w:rsidRDefault="00770824" w:rsidP="00770824">
      <w:pPr>
        <w:rPr>
          <w:rFonts w:asciiTheme="minorHAnsi" w:eastAsiaTheme="minorEastAsia" w:hAnsiTheme="minorHAnsi" w:cstheme="minorBidi"/>
        </w:rPr>
      </w:pPr>
    </w:p>
    <w:p w:rsidR="00770824" w:rsidRDefault="00770824" w:rsidP="00770824">
      <w:pPr>
        <w:rPr>
          <w:rFonts w:ascii="Times New Roman" w:hAnsi="Times New Roman"/>
        </w:rPr>
      </w:pPr>
      <w:r>
        <w:rPr>
          <w:rFonts w:ascii="Times New Roman" w:hAnsi="Times New Roman"/>
        </w:rPr>
        <w:t>Wartość pakietu z VAT słownie: ………………………………………………………………</w:t>
      </w:r>
    </w:p>
    <w:p w:rsidR="00B02B65" w:rsidRDefault="00E85B46"/>
    <w:p w:rsidR="00574E4A" w:rsidRDefault="00574E4A"/>
    <w:p w:rsidR="00861960" w:rsidRDefault="00861960"/>
    <w:p w:rsidR="00861960" w:rsidRDefault="00861960"/>
    <w:p w:rsidR="00861960" w:rsidRDefault="00861960"/>
    <w:p w:rsidR="00861960" w:rsidRDefault="00861960"/>
    <w:p w:rsidR="00861960" w:rsidRDefault="00861960"/>
    <w:p w:rsidR="00861960" w:rsidRDefault="00861960"/>
    <w:p w:rsidR="00861960" w:rsidRDefault="00861960"/>
    <w:p w:rsidR="00861960" w:rsidRDefault="00861960"/>
    <w:p w:rsidR="00574E4A" w:rsidRPr="00AE4FD6" w:rsidRDefault="00574E4A" w:rsidP="00574E4A">
      <w:pPr>
        <w:jc w:val="center"/>
        <w:rPr>
          <w:b/>
          <w:sz w:val="24"/>
        </w:rPr>
      </w:pPr>
    </w:p>
    <w:tbl>
      <w:tblPr>
        <w:tblW w:w="461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9"/>
        <w:gridCol w:w="3498"/>
        <w:gridCol w:w="1026"/>
        <w:gridCol w:w="791"/>
        <w:gridCol w:w="1078"/>
        <w:gridCol w:w="506"/>
        <w:gridCol w:w="1077"/>
        <w:gridCol w:w="1201"/>
        <w:gridCol w:w="1077"/>
        <w:gridCol w:w="1201"/>
        <w:gridCol w:w="1077"/>
      </w:tblGrid>
      <w:tr w:rsidR="00B8542A" w:rsidRPr="00AE4FD6" w:rsidTr="00B8542A">
        <w:trPr>
          <w:trHeight w:hRule="exact" w:val="472"/>
        </w:trPr>
        <w:tc>
          <w:tcPr>
            <w:tcW w:w="5000" w:type="pct"/>
            <w:gridSpan w:val="11"/>
            <w:shd w:val="clear" w:color="auto" w:fill="FFFFFF"/>
            <w:vAlign w:val="center"/>
          </w:tcPr>
          <w:p w:rsidR="00B8542A" w:rsidRPr="00574E4A" w:rsidRDefault="00B8542A" w:rsidP="00B8542A">
            <w:pPr>
              <w:ind w:right="793"/>
              <w:rPr>
                <w:b/>
                <w:color w:val="FF0000"/>
              </w:rPr>
            </w:pPr>
            <w:r w:rsidRPr="00AE4FD6">
              <w:rPr>
                <w:b/>
              </w:rPr>
              <w:t xml:space="preserve">Pakiet </w:t>
            </w:r>
            <w:r>
              <w:rPr>
                <w:b/>
              </w:rPr>
              <w:t>2</w:t>
            </w:r>
            <w:r w:rsidRPr="00AE4FD6">
              <w:rPr>
                <w:b/>
              </w:rPr>
              <w:t xml:space="preserve"> – Wielorazowe czujniki saturacji dla dorosłych (1</w:t>
            </w:r>
            <w:r>
              <w:rPr>
                <w:b/>
              </w:rPr>
              <w:t xml:space="preserve">) </w:t>
            </w:r>
          </w:p>
          <w:p w:rsidR="00B8542A" w:rsidRDefault="00B8542A" w:rsidP="00577BE8">
            <w:pPr>
              <w:shd w:val="clear" w:color="auto" w:fill="FFFFFF"/>
              <w:ind w:left="-39"/>
              <w:jc w:val="center"/>
            </w:pPr>
          </w:p>
        </w:tc>
      </w:tr>
      <w:tr w:rsidR="00574E4A" w:rsidRPr="00AE4FD6" w:rsidTr="00B8542A">
        <w:trPr>
          <w:trHeight w:hRule="exact" w:val="1160"/>
        </w:trPr>
        <w:tc>
          <w:tcPr>
            <w:tcW w:w="147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shd w:val="clear" w:color="auto" w:fill="FFFFFF"/>
              <w:jc w:val="center"/>
            </w:pPr>
            <w:r w:rsidRPr="00AE4FD6">
              <w:rPr>
                <w:color w:val="000000"/>
              </w:rPr>
              <w:t>Lp.</w:t>
            </w:r>
          </w:p>
        </w:tc>
        <w:tc>
          <w:tcPr>
            <w:tcW w:w="1355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shd w:val="clear" w:color="auto" w:fill="FFFFFF"/>
              <w:ind w:left="101"/>
              <w:jc w:val="center"/>
            </w:pPr>
            <w:r w:rsidRPr="00AE4FD6">
              <w:rPr>
                <w:color w:val="000000"/>
                <w:spacing w:val="-4"/>
              </w:rPr>
              <w:t>Asortyment</w:t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shd w:val="clear" w:color="auto" w:fill="FFFFFF"/>
              <w:jc w:val="center"/>
            </w:pPr>
            <w:r w:rsidRPr="00AE4FD6">
              <w:rPr>
                <w:color w:val="000000"/>
                <w:spacing w:val="8"/>
              </w:rPr>
              <w:t>Nazwa handlowa /typ/ symbol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jc w:val="center"/>
            </w:pPr>
            <w:r w:rsidRPr="00AE4FD6">
              <w:t>Nr katalog.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jc w:val="center"/>
            </w:pPr>
            <w:r w:rsidRPr="00AE4FD6">
              <w:t>Producent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jc w:val="center"/>
            </w:pPr>
            <w:r w:rsidRPr="00AE4FD6">
              <w:t>Ilość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574E4A" w:rsidRPr="0092145A" w:rsidRDefault="00574E4A" w:rsidP="0092145A">
            <w:pPr>
              <w:jc w:val="center"/>
            </w:pPr>
            <w:r w:rsidRPr="00AE4FD6">
              <w:t xml:space="preserve">Cena </w:t>
            </w:r>
            <w:proofErr w:type="spellStart"/>
            <w:r w:rsidRPr="00AE4FD6">
              <w:t>jednostk</w:t>
            </w:r>
            <w:proofErr w:type="spellEnd"/>
            <w:r w:rsidRPr="00AE4FD6">
              <w:t>.</w:t>
            </w:r>
            <w:r w:rsidR="0092145A">
              <w:t xml:space="preserve"> </w:t>
            </w:r>
            <w:r w:rsidRPr="00AE4FD6">
              <w:t>netto</w:t>
            </w:r>
          </w:p>
        </w:tc>
        <w:tc>
          <w:tcPr>
            <w:tcW w:w="465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shd w:val="clear" w:color="auto" w:fill="FFFFFF"/>
              <w:jc w:val="center"/>
            </w:pPr>
            <w:r w:rsidRPr="00AE4FD6">
              <w:t>Wartość netto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shd w:val="clear" w:color="auto" w:fill="FFFFFF"/>
              <w:ind w:left="-43"/>
              <w:jc w:val="center"/>
            </w:pPr>
            <w:r w:rsidRPr="00AE4FD6">
              <w:t xml:space="preserve">Podatek VAT i % podatku </w:t>
            </w:r>
          </w:p>
        </w:tc>
        <w:tc>
          <w:tcPr>
            <w:tcW w:w="465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shd w:val="clear" w:color="auto" w:fill="FFFFFF"/>
              <w:ind w:left="-35"/>
              <w:jc w:val="center"/>
            </w:pPr>
            <w:r w:rsidRPr="00AE4FD6">
              <w:t>Wartość brutto</w:t>
            </w:r>
          </w:p>
        </w:tc>
        <w:tc>
          <w:tcPr>
            <w:tcW w:w="418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shd w:val="clear" w:color="auto" w:fill="FFFFFF"/>
              <w:ind w:left="-39"/>
              <w:jc w:val="center"/>
            </w:pPr>
            <w:r>
              <w:t>Okres</w:t>
            </w:r>
            <w:r w:rsidRPr="00AE4FD6">
              <w:t xml:space="preserve"> gwarancji</w:t>
            </w:r>
          </w:p>
        </w:tc>
      </w:tr>
      <w:tr w:rsidR="00574E4A" w:rsidRPr="00AE4FD6" w:rsidTr="00B8542A">
        <w:trPr>
          <w:trHeight w:val="4340"/>
        </w:trPr>
        <w:tc>
          <w:tcPr>
            <w:tcW w:w="147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55" w:type="pct"/>
            <w:shd w:val="clear" w:color="auto" w:fill="FFFFFF"/>
            <w:vAlign w:val="center"/>
          </w:tcPr>
          <w:p w:rsidR="00574E4A" w:rsidRPr="00AE4FD6" w:rsidRDefault="00574E4A" w:rsidP="005E699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Czujnik pomiarowy saturacji wielorazowy dla pacjentów dorosłych (&gt;40 kg) typu klips na palec w technologii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Nellcor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OxiMax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. Kompatybilny z kardiomonitorami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Spacelabs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UltraView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SL2700, SL2600 i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Elance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oraz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pulsoksymetrami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FD6">
              <w:rPr>
                <w:color w:val="000000"/>
                <w:sz w:val="24"/>
                <w:szCs w:val="24"/>
              </w:rPr>
              <w:t>Nellcor</w:t>
            </w:r>
            <w:proofErr w:type="spellEnd"/>
            <w:r w:rsidRPr="00AE4FD6">
              <w:rPr>
                <w:color w:val="000000"/>
                <w:sz w:val="24"/>
                <w:szCs w:val="24"/>
              </w:rPr>
              <w:t xml:space="preserve"> N560 i Libra</w:t>
            </w:r>
          </w:p>
          <w:p w:rsidR="00574E4A" w:rsidRPr="00AE4FD6" w:rsidRDefault="00574E4A" w:rsidP="00577BE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 xml:space="preserve">Wtyk typu: </w:t>
            </w:r>
            <w:r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952500" cy="638175"/>
                  <wp:effectExtent l="0" t="0" r="0" b="0"/>
                  <wp:docPr id="1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6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AE4FD6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74E4A" w:rsidRPr="00AE4FD6" w:rsidTr="00B8542A">
        <w:trPr>
          <w:trHeight w:hRule="exact" w:val="383"/>
        </w:trPr>
        <w:tc>
          <w:tcPr>
            <w:tcW w:w="2623" w:type="pct"/>
            <w:gridSpan w:val="5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  <w:r w:rsidRPr="00AE4FD6">
              <w:rPr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465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shd w:val="clear" w:color="auto" w:fill="FFFFFF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465" w:type="pct"/>
            <w:shd w:val="clear" w:color="auto" w:fill="FFFFFF"/>
            <w:vAlign w:val="center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18" w:type="pct"/>
            <w:shd w:val="clear" w:color="auto" w:fill="FFFFFF"/>
          </w:tcPr>
          <w:p w:rsidR="00574E4A" w:rsidRPr="00AE4FD6" w:rsidRDefault="00574E4A" w:rsidP="00577BE8">
            <w:pPr>
              <w:autoSpaceDE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4222B4" w:rsidRDefault="004222B4" w:rsidP="004222B4">
      <w:pPr>
        <w:spacing w:line="240" w:lineRule="auto"/>
        <w:rPr>
          <w:b/>
        </w:rPr>
      </w:pPr>
    </w:p>
    <w:p w:rsidR="004222B4" w:rsidRDefault="00574E4A" w:rsidP="004222B4">
      <w:pPr>
        <w:spacing w:line="240" w:lineRule="auto"/>
        <w:rPr>
          <w:b/>
        </w:rPr>
      </w:pPr>
      <w:r w:rsidRPr="00AE4FD6">
        <w:rPr>
          <w:b/>
        </w:rPr>
        <w:t>UWAGA</w:t>
      </w:r>
    </w:p>
    <w:p w:rsidR="00574E4A" w:rsidRPr="004222B4" w:rsidRDefault="00574E4A" w:rsidP="004222B4">
      <w:pPr>
        <w:spacing w:line="240" w:lineRule="auto"/>
        <w:rPr>
          <w:b/>
        </w:rPr>
      </w:pPr>
      <w:r w:rsidRPr="00E96435">
        <w:rPr>
          <w:sz w:val="18"/>
          <w:szCs w:val="18"/>
        </w:rPr>
        <w:t>W przypadku gdy zaoferowany czujnik pomiarowy nie będzie wymieniony w instrukcji obsługi urządzeń wymienionych w pozycji 1 powyżej Wykonawca pokrywa wszelkie szkody mogące wystąpić na skutek używania zamienników, w tym przejmuje odpowiedzialność za ewentualne incydenty medyczne.</w:t>
      </w:r>
    </w:p>
    <w:p w:rsidR="00574E4A" w:rsidRPr="00574E4A" w:rsidRDefault="00574E4A" w:rsidP="00574E4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74E4A" w:rsidRPr="00574E4A" w:rsidRDefault="00574E4A" w:rsidP="00574E4A">
      <w:pPr>
        <w:shd w:val="clear" w:color="auto" w:fill="FFFFFF"/>
        <w:spacing w:after="0" w:line="182" w:lineRule="exact"/>
        <w:ind w:right="7670"/>
        <w:jc w:val="center"/>
        <w:rPr>
          <w:rFonts w:ascii="Times New Roman" w:hAnsi="Times New Roman"/>
          <w:b/>
          <w:sz w:val="24"/>
          <w:szCs w:val="20"/>
        </w:rPr>
      </w:pPr>
    </w:p>
    <w:tbl>
      <w:tblPr>
        <w:tblW w:w="451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2"/>
        <w:gridCol w:w="3448"/>
        <w:gridCol w:w="1000"/>
        <w:gridCol w:w="783"/>
        <w:gridCol w:w="1043"/>
        <w:gridCol w:w="510"/>
        <w:gridCol w:w="1046"/>
        <w:gridCol w:w="1165"/>
        <w:gridCol w:w="1046"/>
        <w:gridCol w:w="1165"/>
        <w:gridCol w:w="1043"/>
      </w:tblGrid>
      <w:tr w:rsidR="004769A5" w:rsidRPr="00574E4A" w:rsidTr="004769A5">
        <w:trPr>
          <w:trHeight w:hRule="exact" w:val="456"/>
        </w:trPr>
        <w:tc>
          <w:tcPr>
            <w:tcW w:w="5000" w:type="pct"/>
            <w:gridSpan w:val="11"/>
            <w:shd w:val="clear" w:color="auto" w:fill="FFFFFF"/>
            <w:vAlign w:val="center"/>
          </w:tcPr>
          <w:p w:rsidR="004769A5" w:rsidRPr="004769A5" w:rsidRDefault="004769A5" w:rsidP="004769A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</w:rPr>
            </w:pPr>
            <w:r w:rsidRPr="004769A5">
              <w:rPr>
                <w:rFonts w:ascii="Times New Roman" w:hAnsi="Times New Roman"/>
                <w:b/>
              </w:rPr>
              <w:t xml:space="preserve">Pakiet 3 – Wielorazowe czujniki saturacji dla dorosłych (3) </w:t>
            </w:r>
          </w:p>
          <w:p w:rsidR="004769A5" w:rsidRPr="00574E4A" w:rsidRDefault="004769A5" w:rsidP="00574E4A">
            <w:pPr>
              <w:shd w:val="clear" w:color="auto" w:fill="FFFFFF"/>
              <w:spacing w:after="0" w:line="240" w:lineRule="auto"/>
              <w:ind w:left="-39"/>
              <w:jc w:val="center"/>
              <w:rPr>
                <w:rFonts w:ascii="Times New Roman" w:hAnsi="Times New Roman"/>
              </w:rPr>
            </w:pPr>
          </w:p>
        </w:tc>
      </w:tr>
      <w:tr w:rsidR="00574E4A" w:rsidRPr="00574E4A" w:rsidTr="004769A5">
        <w:trPr>
          <w:trHeight w:hRule="exact" w:val="1334"/>
        </w:trPr>
        <w:tc>
          <w:tcPr>
            <w:tcW w:w="15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  <w:color w:val="000000"/>
              </w:rPr>
              <w:t>Lp.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101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  <w:color w:val="000000"/>
                <w:spacing w:val="-4"/>
              </w:rPr>
              <w:t>Asortyment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  <w:color w:val="000000"/>
                <w:spacing w:val="8"/>
              </w:rPr>
              <w:t>Nazwa handlowa /typ/ symbol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Nr katalog.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Producent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Ilość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 xml:space="preserve">Cena </w:t>
            </w:r>
            <w:proofErr w:type="spellStart"/>
            <w:r w:rsidRPr="00574E4A">
              <w:rPr>
                <w:rFonts w:ascii="Times New Roman" w:hAnsi="Times New Roman"/>
              </w:rPr>
              <w:t>jednostk</w:t>
            </w:r>
            <w:proofErr w:type="spellEnd"/>
            <w:r w:rsidRPr="00574E4A">
              <w:rPr>
                <w:rFonts w:ascii="Times New Roman" w:hAnsi="Times New Roman"/>
              </w:rPr>
              <w:t>.</w:t>
            </w:r>
          </w:p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168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574E4A">
              <w:rPr>
                <w:rFonts w:ascii="Times New Roman" w:hAnsi="Times New Roman"/>
              </w:rPr>
              <w:t>netto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Wartość netto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-43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 xml:space="preserve">Podatek VAT i % podatku 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-35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Wartość brutto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-39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Okres gwarancji</w:t>
            </w:r>
          </w:p>
        </w:tc>
      </w:tr>
      <w:tr w:rsidR="00574E4A" w:rsidRPr="00574E4A" w:rsidTr="004769A5">
        <w:trPr>
          <w:trHeight w:val="276"/>
        </w:trPr>
        <w:tc>
          <w:tcPr>
            <w:tcW w:w="15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Czujnik pomiarowy saturacji wielorazowy dla pacjentów dorosłych (&gt;40 kg) typu klips na palec w technologii Philips. Nie wymagający kabla adaptera (dopuszcza się czujniki wymagające kabla adaptera pod warunkiem, że w z każdym czujnikiem zostanie dostarczony adapter). Długość kabla min. 2,5 m. Kompatybilny z kardiomonitorami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Goldway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G40 i G60 </w:t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Wtyk: </w:t>
            </w:r>
            <w:r w:rsidRPr="00574E4A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952500" cy="638175"/>
                  <wp:effectExtent l="0" t="0" r="0" b="0"/>
                  <wp:docPr id="12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74E4A" w:rsidRPr="00574E4A" w:rsidTr="004769A5">
        <w:trPr>
          <w:trHeight w:hRule="exact" w:val="413"/>
        </w:trPr>
        <w:tc>
          <w:tcPr>
            <w:tcW w:w="2635" w:type="pct"/>
            <w:gridSpan w:val="5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74E4A" w:rsidRPr="00574E4A" w:rsidRDefault="00574E4A" w:rsidP="00574E4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574E4A">
        <w:rPr>
          <w:rFonts w:ascii="Times New Roman" w:hAnsi="Times New Roman"/>
          <w:b/>
          <w:sz w:val="20"/>
          <w:szCs w:val="20"/>
        </w:rPr>
        <w:t>UWAGA</w:t>
      </w:r>
    </w:p>
    <w:p w:rsidR="00574E4A" w:rsidRPr="00574E4A" w:rsidRDefault="00574E4A" w:rsidP="00574E4A">
      <w:pPr>
        <w:spacing w:after="0" w:line="240" w:lineRule="auto"/>
        <w:ind w:left="5529" w:hanging="5529"/>
        <w:rPr>
          <w:rFonts w:ascii="Times New Roman" w:hAnsi="Times New Roman"/>
          <w:sz w:val="20"/>
          <w:szCs w:val="20"/>
        </w:rPr>
      </w:pPr>
    </w:p>
    <w:p w:rsidR="00574E4A" w:rsidRPr="00574E4A" w:rsidRDefault="00574E4A" w:rsidP="00574E4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74E4A">
        <w:rPr>
          <w:rFonts w:ascii="Times New Roman" w:hAnsi="Times New Roman"/>
          <w:sz w:val="20"/>
          <w:szCs w:val="20"/>
        </w:rPr>
        <w:t>W przypadku gdy zaoferowany czujnik pomiarowy nie będzie wymieniony w instrukcji obsługi urządzenia wymienionego w pozycji 1 powyżej Wykonawca pokrywa wszelkie szkody mogące wystąpić na skutek używania zamienników, w tym przejmuje odpowiedzialność za ewentualne incydenty medyczne.</w:t>
      </w:r>
    </w:p>
    <w:p w:rsidR="00574E4A" w:rsidRDefault="00574E4A" w:rsidP="00574E4A">
      <w:pPr>
        <w:rPr>
          <w:sz w:val="18"/>
          <w:szCs w:val="18"/>
        </w:rPr>
      </w:pPr>
    </w:p>
    <w:p w:rsidR="00574E4A" w:rsidRPr="00574E4A" w:rsidRDefault="00574E4A" w:rsidP="00574E4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74E4A" w:rsidRPr="00574E4A" w:rsidRDefault="00574E4A" w:rsidP="00574E4A">
      <w:pPr>
        <w:shd w:val="clear" w:color="auto" w:fill="FFFFFF"/>
        <w:spacing w:after="0" w:line="182" w:lineRule="exact"/>
        <w:ind w:right="7670"/>
        <w:jc w:val="center"/>
        <w:rPr>
          <w:rFonts w:ascii="Times New Roman" w:hAnsi="Times New Roman"/>
          <w:b/>
          <w:sz w:val="24"/>
          <w:szCs w:val="20"/>
        </w:rPr>
      </w:pPr>
    </w:p>
    <w:tbl>
      <w:tblPr>
        <w:tblW w:w="451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2"/>
        <w:gridCol w:w="3448"/>
        <w:gridCol w:w="1000"/>
        <w:gridCol w:w="783"/>
        <w:gridCol w:w="1043"/>
        <w:gridCol w:w="510"/>
        <w:gridCol w:w="1046"/>
        <w:gridCol w:w="1165"/>
        <w:gridCol w:w="1046"/>
        <w:gridCol w:w="1165"/>
        <w:gridCol w:w="1043"/>
      </w:tblGrid>
      <w:tr w:rsidR="004769A5" w:rsidRPr="00574E4A" w:rsidTr="004769A5">
        <w:trPr>
          <w:trHeight w:hRule="exact" w:val="456"/>
        </w:trPr>
        <w:tc>
          <w:tcPr>
            <w:tcW w:w="5000" w:type="pct"/>
            <w:gridSpan w:val="11"/>
            <w:shd w:val="clear" w:color="auto" w:fill="FFFFFF"/>
            <w:vAlign w:val="center"/>
          </w:tcPr>
          <w:p w:rsidR="004769A5" w:rsidRPr="004769A5" w:rsidRDefault="004769A5" w:rsidP="004769A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</w:rPr>
            </w:pPr>
            <w:r w:rsidRPr="004769A5">
              <w:rPr>
                <w:rFonts w:ascii="Times New Roman" w:hAnsi="Times New Roman"/>
                <w:b/>
              </w:rPr>
              <w:t>Pakiet 4 – Wielorazowe czujniki saturacji dla dorosłych (4)</w:t>
            </w:r>
          </w:p>
          <w:p w:rsidR="004769A5" w:rsidRPr="00574E4A" w:rsidRDefault="004769A5" w:rsidP="00574E4A">
            <w:pPr>
              <w:shd w:val="clear" w:color="auto" w:fill="FFFFFF"/>
              <w:spacing w:after="0" w:line="240" w:lineRule="auto"/>
              <w:ind w:left="-39"/>
              <w:jc w:val="center"/>
              <w:rPr>
                <w:rFonts w:ascii="Times New Roman" w:hAnsi="Times New Roman"/>
              </w:rPr>
            </w:pPr>
          </w:p>
        </w:tc>
      </w:tr>
      <w:tr w:rsidR="00574E4A" w:rsidRPr="00574E4A" w:rsidTr="004769A5">
        <w:trPr>
          <w:trHeight w:hRule="exact" w:val="1334"/>
        </w:trPr>
        <w:tc>
          <w:tcPr>
            <w:tcW w:w="15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  <w:color w:val="000000"/>
              </w:rPr>
              <w:t>Lp.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101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  <w:color w:val="000000"/>
                <w:spacing w:val="-4"/>
              </w:rPr>
              <w:t>Asortyment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  <w:color w:val="000000"/>
                <w:spacing w:val="8"/>
              </w:rPr>
              <w:t>Nazwa handlowa /typ/ symbol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Nr katalog.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Producent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Ilość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 xml:space="preserve">Cena </w:t>
            </w:r>
            <w:proofErr w:type="spellStart"/>
            <w:r w:rsidRPr="00574E4A">
              <w:rPr>
                <w:rFonts w:ascii="Times New Roman" w:hAnsi="Times New Roman"/>
              </w:rPr>
              <w:t>jednostk</w:t>
            </w:r>
            <w:proofErr w:type="spellEnd"/>
            <w:r w:rsidRPr="00574E4A">
              <w:rPr>
                <w:rFonts w:ascii="Times New Roman" w:hAnsi="Times New Roman"/>
              </w:rPr>
              <w:t>.</w:t>
            </w:r>
          </w:p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168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574E4A">
              <w:rPr>
                <w:rFonts w:ascii="Times New Roman" w:hAnsi="Times New Roman"/>
              </w:rPr>
              <w:t>netto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Wartość netto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-43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 xml:space="preserve">Podatek VAT i % podatku 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-35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Wartość brutto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-39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Okres gwarancji</w:t>
            </w:r>
          </w:p>
        </w:tc>
      </w:tr>
      <w:tr w:rsidR="00574E4A" w:rsidRPr="00574E4A" w:rsidTr="004769A5">
        <w:trPr>
          <w:trHeight w:val="4392"/>
        </w:trPr>
        <w:tc>
          <w:tcPr>
            <w:tcW w:w="15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Czujnik pomiarowy saturacji wielorazowy dla pacjentów dorosłych (&gt;20 kg) typu klips na palec, nie wymagający kabla adaptera (dopuszcza się czujniki wymagające kabla adaptera pod warunkiem, że z każdym czujnikiem zostanie dostarczony adapter). Długość kabla min. 3 m. Czujnik w technologii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TruSignal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GE. Kompatybilny z modułem GE E-PRESTN oraz E-PSMP-01. </w:t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Wtyk do monitora Blue Flat</w:t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113182" cy="454015"/>
                  <wp:effectExtent l="0" t="0" r="0" b="0"/>
                  <wp:docPr id="1" name="Obraz 29" descr="U410-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U410-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035" cy="458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74E4A" w:rsidRPr="00574E4A" w:rsidTr="004769A5">
        <w:trPr>
          <w:trHeight w:hRule="exact" w:val="407"/>
        </w:trPr>
        <w:tc>
          <w:tcPr>
            <w:tcW w:w="2635" w:type="pct"/>
            <w:gridSpan w:val="5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74E4A" w:rsidRPr="00574E4A" w:rsidRDefault="00574E4A" w:rsidP="00574E4A">
      <w:pPr>
        <w:spacing w:after="0" w:line="240" w:lineRule="auto"/>
        <w:ind w:left="709"/>
        <w:rPr>
          <w:rFonts w:ascii="Times New Roman" w:hAnsi="Times New Roman"/>
          <w:sz w:val="24"/>
          <w:szCs w:val="20"/>
        </w:rPr>
      </w:pPr>
    </w:p>
    <w:p w:rsidR="00574E4A" w:rsidRPr="00574E4A" w:rsidRDefault="00574E4A" w:rsidP="00574E4A">
      <w:pPr>
        <w:spacing w:after="0" w:line="240" w:lineRule="auto"/>
        <w:ind w:left="5529" w:hanging="5529"/>
        <w:rPr>
          <w:rFonts w:ascii="Times New Roman" w:hAnsi="Times New Roman"/>
          <w:b/>
          <w:sz w:val="20"/>
          <w:szCs w:val="20"/>
        </w:rPr>
      </w:pPr>
      <w:r w:rsidRPr="00574E4A">
        <w:rPr>
          <w:rFonts w:ascii="Times New Roman" w:hAnsi="Times New Roman"/>
          <w:b/>
          <w:sz w:val="20"/>
          <w:szCs w:val="20"/>
        </w:rPr>
        <w:t>UWAGA</w:t>
      </w:r>
    </w:p>
    <w:p w:rsidR="00574E4A" w:rsidRPr="00574E4A" w:rsidRDefault="00574E4A" w:rsidP="00574E4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74E4A">
        <w:rPr>
          <w:rFonts w:ascii="Times New Roman" w:hAnsi="Times New Roman"/>
          <w:sz w:val="20"/>
          <w:szCs w:val="20"/>
        </w:rPr>
        <w:t>W przypadku gdy zaoferowany czujnik pomiarowy nie będzie wymieniony w instrukcji obsługi urządzenia wymienionego w pozycji 1 powyżej Wykonawca pokrywa wszelkie szkody mogące wystąpić na skutek używania zamienników, w tym przejmuje odpowiedzialność za ewentualne incydenty medyczne.</w:t>
      </w:r>
    </w:p>
    <w:p w:rsidR="00574E4A" w:rsidRDefault="00574E4A"/>
    <w:p w:rsidR="00574E4A" w:rsidRDefault="00574E4A"/>
    <w:p w:rsidR="00574E4A" w:rsidRPr="00574E4A" w:rsidRDefault="00574E4A" w:rsidP="00574E4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74E4A" w:rsidRPr="00574E4A" w:rsidRDefault="00574E4A" w:rsidP="00574E4A">
      <w:pPr>
        <w:shd w:val="clear" w:color="auto" w:fill="FFFFFF"/>
        <w:spacing w:after="0" w:line="182" w:lineRule="exact"/>
        <w:ind w:right="7670"/>
        <w:jc w:val="center"/>
        <w:rPr>
          <w:rFonts w:ascii="Times New Roman" w:hAnsi="Times New Roman"/>
          <w:b/>
          <w:sz w:val="24"/>
          <w:szCs w:val="20"/>
        </w:rPr>
      </w:pPr>
    </w:p>
    <w:tbl>
      <w:tblPr>
        <w:tblW w:w="451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2"/>
        <w:gridCol w:w="3448"/>
        <w:gridCol w:w="1000"/>
        <w:gridCol w:w="783"/>
        <w:gridCol w:w="1046"/>
        <w:gridCol w:w="510"/>
        <w:gridCol w:w="1043"/>
        <w:gridCol w:w="1165"/>
        <w:gridCol w:w="1046"/>
        <w:gridCol w:w="1165"/>
        <w:gridCol w:w="1043"/>
      </w:tblGrid>
      <w:tr w:rsidR="00737413" w:rsidRPr="00574E4A" w:rsidTr="00737413">
        <w:trPr>
          <w:trHeight w:hRule="exact" w:val="456"/>
        </w:trPr>
        <w:tc>
          <w:tcPr>
            <w:tcW w:w="5000" w:type="pct"/>
            <w:gridSpan w:val="11"/>
            <w:shd w:val="clear" w:color="auto" w:fill="FFFFFF"/>
            <w:vAlign w:val="center"/>
          </w:tcPr>
          <w:p w:rsidR="00737413" w:rsidRPr="00737413" w:rsidRDefault="00737413" w:rsidP="0073741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</w:rPr>
            </w:pPr>
            <w:r w:rsidRPr="00737413">
              <w:rPr>
                <w:rFonts w:ascii="Times New Roman" w:hAnsi="Times New Roman"/>
                <w:b/>
              </w:rPr>
              <w:t xml:space="preserve">Pakiet 5 – Wielorazowe czujniki saturacji dla dorosłych (8) </w:t>
            </w:r>
          </w:p>
          <w:p w:rsidR="00737413" w:rsidRPr="00737413" w:rsidRDefault="00737413" w:rsidP="00574E4A">
            <w:pPr>
              <w:shd w:val="clear" w:color="auto" w:fill="FFFFFF"/>
              <w:spacing w:after="0" w:line="240" w:lineRule="auto"/>
              <w:ind w:left="-39"/>
              <w:jc w:val="center"/>
              <w:rPr>
                <w:rFonts w:ascii="Times New Roman" w:hAnsi="Times New Roman"/>
              </w:rPr>
            </w:pPr>
          </w:p>
        </w:tc>
      </w:tr>
      <w:tr w:rsidR="00574E4A" w:rsidRPr="00574E4A" w:rsidTr="00737413">
        <w:trPr>
          <w:trHeight w:hRule="exact" w:val="1334"/>
        </w:trPr>
        <w:tc>
          <w:tcPr>
            <w:tcW w:w="15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  <w:color w:val="000000"/>
              </w:rPr>
              <w:t>Lp.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101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  <w:color w:val="000000"/>
                <w:spacing w:val="-4"/>
              </w:rPr>
              <w:t>Asortyment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  <w:color w:val="000000"/>
                <w:spacing w:val="8"/>
              </w:rPr>
              <w:t>Nazwa handlowa /typ/ symbol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Nr katalog.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Producent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Ilość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 xml:space="preserve">Cena </w:t>
            </w:r>
            <w:proofErr w:type="spellStart"/>
            <w:r w:rsidRPr="00574E4A">
              <w:rPr>
                <w:rFonts w:ascii="Times New Roman" w:hAnsi="Times New Roman"/>
              </w:rPr>
              <w:t>jednostk</w:t>
            </w:r>
            <w:proofErr w:type="spellEnd"/>
            <w:r w:rsidRPr="00574E4A">
              <w:rPr>
                <w:rFonts w:ascii="Times New Roman" w:hAnsi="Times New Roman"/>
              </w:rPr>
              <w:t>.</w:t>
            </w:r>
          </w:p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168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574E4A">
              <w:rPr>
                <w:rFonts w:ascii="Times New Roman" w:hAnsi="Times New Roman"/>
              </w:rPr>
              <w:t>netto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Wartość netto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-43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 xml:space="preserve">Podatek VAT i % podatku 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-35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Wartość brutto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-39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Okres gwarancji</w:t>
            </w:r>
          </w:p>
        </w:tc>
      </w:tr>
      <w:tr w:rsidR="00574E4A" w:rsidRPr="00574E4A" w:rsidTr="00737413">
        <w:trPr>
          <w:trHeight w:val="276"/>
        </w:trPr>
        <w:tc>
          <w:tcPr>
            <w:tcW w:w="15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Czujnik pomiarowy saturacji wielorazowy dla pacjentów dorosłych (&gt;30 kg) typu klips na palec. Długość kabla min. 0,9 m. Podłączany do kabla adaptera. Kompatybilny z technologią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Masimo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SET (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Pulsoksymetr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RAD8,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Radical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7)</w:t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Wtyk czujnika: </w:t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>
                  <wp:extent cx="1781175" cy="1256030"/>
                  <wp:effectExtent l="0" t="0" r="9525" b="1270"/>
                  <wp:docPr id="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574E4A" w:rsidRPr="00574E4A" w:rsidRDefault="00574E4A" w:rsidP="004628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46287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74E4A" w:rsidRPr="00574E4A" w:rsidTr="00737413">
        <w:trPr>
          <w:trHeight w:val="276"/>
        </w:trPr>
        <w:tc>
          <w:tcPr>
            <w:tcW w:w="15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Czujnik pomiarowy saturacji wielorazowy dla dzieci (waga 10-50kg) typu klips na palec. Długość kabla min. 0,9 m. Podłączany do kabla adaptera. Kompatybilny z technologią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Masimo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SET (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Pulsoksymetr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RAD8,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Radical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7)</w:t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Wtyk czujnika: </w:t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noProof/>
                <w:sz w:val="20"/>
                <w:szCs w:val="20"/>
              </w:rPr>
              <w:lastRenderedPageBreak/>
              <w:drawing>
                <wp:inline distT="0" distB="0" distL="0" distR="0">
                  <wp:extent cx="1781175" cy="1256030"/>
                  <wp:effectExtent l="0" t="0" r="9525" b="1270"/>
                  <wp:docPr id="6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6287C" w:rsidRPr="00574E4A" w:rsidTr="00737413">
        <w:trPr>
          <w:trHeight w:val="276"/>
        </w:trPr>
        <w:tc>
          <w:tcPr>
            <w:tcW w:w="151" w:type="pct"/>
            <w:shd w:val="clear" w:color="auto" w:fill="FFFFFF"/>
            <w:vAlign w:val="center"/>
          </w:tcPr>
          <w:p w:rsidR="0046287C" w:rsidRPr="00574E4A" w:rsidRDefault="0046287C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46287C" w:rsidRPr="00574E4A" w:rsidRDefault="0046287C" w:rsidP="004628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Czujnik pomiarowy saturacji wielorazowy dla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noworodków </w:t>
            </w: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(&gt;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kg) typu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Y</w:t>
            </w: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Długość kabla min. 0,9 m. Podłączany do kabla adaptera. Kompatybilny z technologią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Masimo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SET (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Pulsoksymetr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RAD8,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Radical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7)</w:t>
            </w:r>
          </w:p>
          <w:p w:rsidR="0046287C" w:rsidRPr="00574E4A" w:rsidRDefault="0046287C" w:rsidP="004628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Wtyk czujnika: </w:t>
            </w:r>
          </w:p>
          <w:p w:rsidR="0046287C" w:rsidRPr="00574E4A" w:rsidRDefault="0046287C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87C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781175" cy="1256030"/>
                  <wp:effectExtent l="0" t="0" r="9525" b="1270"/>
                  <wp:docPr id="3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46287C" w:rsidRPr="00574E4A" w:rsidRDefault="0046287C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46287C" w:rsidRPr="00574E4A" w:rsidRDefault="0046287C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46287C" w:rsidRPr="00574E4A" w:rsidRDefault="0046287C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46287C" w:rsidRPr="00574E4A" w:rsidRDefault="0046287C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46287C" w:rsidRPr="00574E4A" w:rsidRDefault="0046287C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46287C" w:rsidRPr="00574E4A" w:rsidRDefault="0046287C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46287C" w:rsidRPr="00574E4A" w:rsidRDefault="0046287C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46287C" w:rsidRPr="00574E4A" w:rsidRDefault="0046287C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46287C" w:rsidRPr="00574E4A" w:rsidRDefault="0046287C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74E4A" w:rsidRPr="00574E4A" w:rsidTr="00737413">
        <w:trPr>
          <w:trHeight w:val="276"/>
        </w:trPr>
        <w:tc>
          <w:tcPr>
            <w:tcW w:w="151" w:type="pct"/>
            <w:shd w:val="clear" w:color="auto" w:fill="FFFFFF"/>
            <w:vAlign w:val="center"/>
          </w:tcPr>
          <w:p w:rsidR="00574E4A" w:rsidRPr="00574E4A" w:rsidRDefault="0046287C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65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Kabel pacjenta (adapter) wielorazowy, długość min. 2,5 m. Kompatybilny z czujnikami z pozycji 1 i 2 oraz z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pulsoksymetrami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RAD8, Radical7.</w:t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Gniazdo monitora: </w:t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>
                  <wp:extent cx="1884680" cy="1685925"/>
                  <wp:effectExtent l="0" t="0" r="1270" b="9525"/>
                  <wp:docPr id="7" name="Obraz 23" descr="RAD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RAD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05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68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0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74E4A" w:rsidRPr="00574E4A" w:rsidTr="00737413">
        <w:trPr>
          <w:trHeight w:hRule="exact" w:val="363"/>
        </w:trPr>
        <w:tc>
          <w:tcPr>
            <w:tcW w:w="2636" w:type="pct"/>
            <w:gridSpan w:val="5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shd w:val="clear" w:color="auto" w:fill="FFFFFF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74E4A" w:rsidRPr="00574E4A" w:rsidRDefault="00574E4A" w:rsidP="00574E4A">
      <w:pPr>
        <w:spacing w:after="0" w:line="240" w:lineRule="auto"/>
        <w:ind w:left="709"/>
        <w:rPr>
          <w:rFonts w:ascii="Times New Roman" w:hAnsi="Times New Roman"/>
          <w:sz w:val="24"/>
          <w:szCs w:val="20"/>
        </w:rPr>
      </w:pPr>
    </w:p>
    <w:p w:rsidR="00574E4A" w:rsidRPr="00574E4A" w:rsidRDefault="00574E4A" w:rsidP="00574E4A">
      <w:pPr>
        <w:spacing w:after="0" w:line="240" w:lineRule="auto"/>
        <w:ind w:left="5529" w:hanging="5529"/>
        <w:rPr>
          <w:rFonts w:ascii="Times New Roman" w:hAnsi="Times New Roman"/>
          <w:b/>
          <w:sz w:val="20"/>
          <w:szCs w:val="20"/>
        </w:rPr>
      </w:pPr>
      <w:r w:rsidRPr="00574E4A">
        <w:rPr>
          <w:rFonts w:ascii="Times New Roman" w:hAnsi="Times New Roman"/>
          <w:b/>
          <w:sz w:val="20"/>
          <w:szCs w:val="20"/>
        </w:rPr>
        <w:t>UWAGA</w:t>
      </w:r>
    </w:p>
    <w:p w:rsidR="00574E4A" w:rsidRPr="00574E4A" w:rsidRDefault="00574E4A" w:rsidP="00574E4A">
      <w:pPr>
        <w:spacing w:after="0" w:line="240" w:lineRule="auto"/>
        <w:ind w:left="5529" w:hanging="5529"/>
        <w:rPr>
          <w:rFonts w:ascii="Times New Roman" w:hAnsi="Times New Roman"/>
          <w:sz w:val="20"/>
          <w:szCs w:val="20"/>
        </w:rPr>
      </w:pPr>
    </w:p>
    <w:p w:rsidR="00574E4A" w:rsidRPr="00574E4A" w:rsidRDefault="00574E4A" w:rsidP="00574E4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74E4A">
        <w:rPr>
          <w:rFonts w:ascii="Times New Roman" w:hAnsi="Times New Roman"/>
          <w:sz w:val="20"/>
          <w:szCs w:val="20"/>
        </w:rPr>
        <w:t>W przypadku gdy zaoferowan</w:t>
      </w:r>
      <w:r w:rsidR="0046287C">
        <w:rPr>
          <w:rFonts w:ascii="Times New Roman" w:hAnsi="Times New Roman"/>
          <w:sz w:val="20"/>
          <w:szCs w:val="20"/>
        </w:rPr>
        <w:t>e</w:t>
      </w:r>
      <w:r w:rsidRPr="00574E4A">
        <w:rPr>
          <w:rFonts w:ascii="Times New Roman" w:hAnsi="Times New Roman"/>
          <w:sz w:val="20"/>
          <w:szCs w:val="20"/>
        </w:rPr>
        <w:t xml:space="preserve"> czujnik</w:t>
      </w:r>
      <w:r w:rsidR="0046287C">
        <w:rPr>
          <w:rFonts w:ascii="Times New Roman" w:hAnsi="Times New Roman"/>
          <w:sz w:val="20"/>
          <w:szCs w:val="20"/>
        </w:rPr>
        <w:t>i</w:t>
      </w:r>
      <w:r w:rsidRPr="00574E4A">
        <w:rPr>
          <w:rFonts w:ascii="Times New Roman" w:hAnsi="Times New Roman"/>
          <w:sz w:val="20"/>
          <w:szCs w:val="20"/>
        </w:rPr>
        <w:t xml:space="preserve"> pomiarow</w:t>
      </w:r>
      <w:r w:rsidR="0046287C">
        <w:rPr>
          <w:rFonts w:ascii="Times New Roman" w:hAnsi="Times New Roman"/>
          <w:sz w:val="20"/>
          <w:szCs w:val="20"/>
        </w:rPr>
        <w:t>e nie będą</w:t>
      </w:r>
      <w:r w:rsidRPr="00574E4A">
        <w:rPr>
          <w:rFonts w:ascii="Times New Roman" w:hAnsi="Times New Roman"/>
          <w:sz w:val="20"/>
          <w:szCs w:val="20"/>
        </w:rPr>
        <w:t xml:space="preserve"> wymienion</w:t>
      </w:r>
      <w:r w:rsidR="0046287C">
        <w:rPr>
          <w:rFonts w:ascii="Times New Roman" w:hAnsi="Times New Roman"/>
          <w:sz w:val="20"/>
          <w:szCs w:val="20"/>
        </w:rPr>
        <w:t>e</w:t>
      </w:r>
      <w:r w:rsidRPr="00574E4A">
        <w:rPr>
          <w:rFonts w:ascii="Times New Roman" w:hAnsi="Times New Roman"/>
          <w:sz w:val="20"/>
          <w:szCs w:val="20"/>
        </w:rPr>
        <w:t xml:space="preserve"> w instrukcji obsługi urządzeń wymienionych w pozycjach 1-</w:t>
      </w:r>
      <w:r w:rsidR="0046287C">
        <w:rPr>
          <w:rFonts w:ascii="Times New Roman" w:hAnsi="Times New Roman"/>
          <w:sz w:val="20"/>
          <w:szCs w:val="20"/>
        </w:rPr>
        <w:t>4</w:t>
      </w:r>
      <w:r w:rsidRPr="00574E4A">
        <w:rPr>
          <w:rFonts w:ascii="Times New Roman" w:hAnsi="Times New Roman"/>
          <w:sz w:val="20"/>
          <w:szCs w:val="20"/>
        </w:rPr>
        <w:t>powyżej Wykonawca pokrywa wszelkie szkody mogące wystąpić na skutek używania zamienników, w tym przejmuje odpowiedzialność za ewentualne incydenty medyczne.</w:t>
      </w:r>
    </w:p>
    <w:p w:rsidR="00574E4A" w:rsidRDefault="00574E4A"/>
    <w:p w:rsidR="00574E4A" w:rsidRDefault="00574E4A"/>
    <w:p w:rsidR="004222B4" w:rsidRDefault="004222B4"/>
    <w:p w:rsidR="004222B4" w:rsidRDefault="004222B4"/>
    <w:p w:rsidR="004222B4" w:rsidRDefault="004222B4"/>
    <w:p w:rsidR="004222B4" w:rsidRDefault="004222B4"/>
    <w:p w:rsidR="004222B4" w:rsidRDefault="004222B4"/>
    <w:p w:rsidR="004222B4" w:rsidRDefault="004222B4">
      <w:bookmarkStart w:id="0" w:name="_GoBack"/>
      <w:bookmarkEnd w:id="0"/>
    </w:p>
    <w:p w:rsidR="00574E4A" w:rsidRPr="00574E4A" w:rsidRDefault="00574E4A" w:rsidP="00574E4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74E4A" w:rsidRPr="00574E4A" w:rsidRDefault="00574E4A" w:rsidP="00574E4A">
      <w:pPr>
        <w:shd w:val="clear" w:color="auto" w:fill="FFFFFF"/>
        <w:spacing w:after="0" w:line="182" w:lineRule="exact"/>
        <w:ind w:right="7670"/>
        <w:jc w:val="center"/>
        <w:rPr>
          <w:rFonts w:ascii="Times New Roman" w:hAnsi="Times New Roman"/>
          <w:b/>
          <w:sz w:val="24"/>
          <w:szCs w:val="20"/>
        </w:rPr>
      </w:pPr>
    </w:p>
    <w:tbl>
      <w:tblPr>
        <w:tblW w:w="486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0"/>
        <w:gridCol w:w="3709"/>
        <w:gridCol w:w="1000"/>
        <w:gridCol w:w="847"/>
        <w:gridCol w:w="1155"/>
        <w:gridCol w:w="509"/>
        <w:gridCol w:w="1149"/>
        <w:gridCol w:w="1283"/>
        <w:gridCol w:w="1152"/>
        <w:gridCol w:w="1283"/>
        <w:gridCol w:w="1149"/>
      </w:tblGrid>
      <w:tr w:rsidR="00737413" w:rsidRPr="00574E4A" w:rsidTr="00737413">
        <w:trPr>
          <w:trHeight w:hRule="exact" w:val="456"/>
        </w:trPr>
        <w:tc>
          <w:tcPr>
            <w:tcW w:w="5000" w:type="pct"/>
            <w:gridSpan w:val="11"/>
            <w:shd w:val="clear" w:color="auto" w:fill="FFFFFF"/>
            <w:vAlign w:val="center"/>
          </w:tcPr>
          <w:p w:rsidR="00737413" w:rsidRPr="00737413" w:rsidRDefault="00737413" w:rsidP="0073741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</w:rPr>
            </w:pPr>
            <w:r w:rsidRPr="00737413">
              <w:rPr>
                <w:rFonts w:ascii="Times New Roman" w:hAnsi="Times New Roman"/>
                <w:b/>
              </w:rPr>
              <w:lastRenderedPageBreak/>
              <w:t xml:space="preserve">Pakiet 6 – Kable EKG monitorujące do kardiomonitorów (1) </w:t>
            </w:r>
          </w:p>
          <w:p w:rsidR="00737413" w:rsidRPr="00574E4A" w:rsidRDefault="00737413" w:rsidP="00574E4A">
            <w:pPr>
              <w:shd w:val="clear" w:color="auto" w:fill="FFFFFF"/>
              <w:spacing w:after="0" w:line="240" w:lineRule="auto"/>
              <w:ind w:left="-39"/>
              <w:jc w:val="center"/>
              <w:rPr>
                <w:rFonts w:ascii="Times New Roman" w:hAnsi="Times New Roman"/>
              </w:rPr>
            </w:pPr>
          </w:p>
        </w:tc>
      </w:tr>
      <w:tr w:rsidR="00574E4A" w:rsidRPr="00574E4A" w:rsidTr="00577BE8">
        <w:trPr>
          <w:trHeight w:hRule="exact" w:val="1334"/>
        </w:trPr>
        <w:tc>
          <w:tcPr>
            <w:tcW w:w="140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  <w:color w:val="000000"/>
              </w:rPr>
              <w:t>Lp.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101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  <w:color w:val="000000"/>
                <w:spacing w:val="-4"/>
              </w:rPr>
              <w:t>Asortyment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  <w:color w:val="000000"/>
                <w:spacing w:val="8"/>
              </w:rPr>
              <w:t>Nazwa handlowa /typ/ symbol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Nr katalog.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Producent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Ilość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 xml:space="preserve">Cena </w:t>
            </w:r>
            <w:proofErr w:type="spellStart"/>
            <w:r w:rsidRPr="00574E4A">
              <w:rPr>
                <w:rFonts w:ascii="Times New Roman" w:hAnsi="Times New Roman"/>
              </w:rPr>
              <w:t>jednostk</w:t>
            </w:r>
            <w:proofErr w:type="spellEnd"/>
            <w:r w:rsidRPr="00574E4A">
              <w:rPr>
                <w:rFonts w:ascii="Times New Roman" w:hAnsi="Times New Roman"/>
              </w:rPr>
              <w:t>.</w:t>
            </w:r>
          </w:p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168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574E4A">
              <w:rPr>
                <w:rFonts w:ascii="Times New Roman" w:hAnsi="Times New Roman"/>
              </w:rPr>
              <w:t>netto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Wartość netto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-43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 xml:space="preserve">Podatek VAT i % podatku 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-35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Wartość brutto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ind w:left="-39"/>
              <w:jc w:val="center"/>
              <w:rPr>
                <w:rFonts w:ascii="Times New Roman" w:hAnsi="Times New Roman"/>
              </w:rPr>
            </w:pPr>
            <w:r w:rsidRPr="00574E4A">
              <w:rPr>
                <w:rFonts w:ascii="Times New Roman" w:hAnsi="Times New Roman"/>
              </w:rPr>
              <w:t>Okres gwarancji</w:t>
            </w:r>
          </w:p>
        </w:tc>
      </w:tr>
      <w:tr w:rsidR="00574E4A" w:rsidRPr="00574E4A" w:rsidTr="00577BE8">
        <w:trPr>
          <w:trHeight w:val="276"/>
        </w:trPr>
        <w:tc>
          <w:tcPr>
            <w:tcW w:w="140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Komplet 3 odprowadzeń EKG zakończonych klamrą, w kolorze IEC: czerwony, zielony, żółty. Odprowadzenia pojedyncze, nie połączone kostką. Kompatybilne z kardiomonitorami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Spacelabs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UltraView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SL2700, SL2600 i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Elance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Gniazdo po stronie kabla monitora: </w:t>
            </w:r>
            <w:r w:rsidRPr="00574E4A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>
                  <wp:extent cx="952500" cy="638175"/>
                  <wp:effectExtent l="0" t="0" r="0" b="0"/>
                  <wp:docPr id="11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kpl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74E4A" w:rsidRPr="00574E4A" w:rsidTr="00577BE8">
        <w:trPr>
          <w:trHeight w:val="276"/>
        </w:trPr>
        <w:tc>
          <w:tcPr>
            <w:tcW w:w="140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Kabel główny EKG 3 lub 5 odprowadzeń IEC. Kompatybilny z kardiomonitorami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Spacelabs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UltraView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SL2700, SL2600 i </w:t>
            </w:r>
            <w:proofErr w:type="spellStart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Elance</w:t>
            </w:r>
            <w:proofErr w:type="spellEnd"/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Wtyk do monitora: </w:t>
            </w:r>
            <w:r w:rsidRPr="00574E4A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238250" cy="828675"/>
                  <wp:effectExtent l="0" t="0" r="0" b="0"/>
                  <wp:docPr id="2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74E4A" w:rsidRPr="00574E4A" w:rsidTr="00577BE8">
        <w:trPr>
          <w:trHeight w:hRule="exact" w:val="308"/>
        </w:trPr>
        <w:tc>
          <w:tcPr>
            <w:tcW w:w="2604" w:type="pct"/>
            <w:gridSpan w:val="5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4E4A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23" w:type="pct"/>
            <w:shd w:val="clear" w:color="auto" w:fill="FFFFFF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" w:type="pct"/>
            <w:shd w:val="clear" w:color="auto" w:fill="FFFFFF"/>
            <w:vAlign w:val="center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shd w:val="clear" w:color="auto" w:fill="FFFFFF"/>
          </w:tcPr>
          <w:p w:rsidR="00574E4A" w:rsidRPr="00574E4A" w:rsidRDefault="00574E4A" w:rsidP="00574E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74E4A" w:rsidRDefault="00574E4A"/>
    <w:sectPr w:rsidR="00574E4A" w:rsidSect="00043E1F">
      <w:headerReference w:type="defaul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35E" w:rsidRDefault="0080135E" w:rsidP="0092145A">
      <w:pPr>
        <w:spacing w:after="0" w:line="240" w:lineRule="auto"/>
      </w:pPr>
      <w:r>
        <w:separator/>
      </w:r>
    </w:p>
  </w:endnote>
  <w:endnote w:type="continuationSeparator" w:id="0">
    <w:p w:rsidR="0080135E" w:rsidRDefault="0080135E" w:rsidP="00921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35E" w:rsidRDefault="0080135E" w:rsidP="0092145A">
      <w:pPr>
        <w:spacing w:after="0" w:line="240" w:lineRule="auto"/>
      </w:pPr>
      <w:r>
        <w:separator/>
      </w:r>
    </w:p>
  </w:footnote>
  <w:footnote w:type="continuationSeparator" w:id="0">
    <w:p w:rsidR="0080135E" w:rsidRDefault="0080135E" w:rsidP="00921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45A" w:rsidRDefault="0092145A">
    <w:pPr>
      <w:pStyle w:val="Nagwek"/>
    </w:pPr>
    <w:r>
      <w:t xml:space="preserve">Nr sprawy: ZP/9/2022 - </w:t>
    </w:r>
    <w:r w:rsidRPr="0092145A">
      <w:t>Przyrządy do przetaczania, przedłużacze do pomp, czujniki saturacji do kardiomonitorów i pulsoksymetrów oraz kable EKG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E1F"/>
    <w:rsid w:val="00043E1F"/>
    <w:rsid w:val="001016D1"/>
    <w:rsid w:val="002F1EDF"/>
    <w:rsid w:val="004222B4"/>
    <w:rsid w:val="00434781"/>
    <w:rsid w:val="0046287C"/>
    <w:rsid w:val="004769A5"/>
    <w:rsid w:val="00514EC1"/>
    <w:rsid w:val="00574E4A"/>
    <w:rsid w:val="005E6990"/>
    <w:rsid w:val="00737413"/>
    <w:rsid w:val="00770824"/>
    <w:rsid w:val="0080135E"/>
    <w:rsid w:val="00861960"/>
    <w:rsid w:val="00920751"/>
    <w:rsid w:val="0092145A"/>
    <w:rsid w:val="009C617D"/>
    <w:rsid w:val="009D49BF"/>
    <w:rsid w:val="00B2093F"/>
    <w:rsid w:val="00B275F9"/>
    <w:rsid w:val="00B8542A"/>
    <w:rsid w:val="00F255E9"/>
    <w:rsid w:val="00F833CF"/>
    <w:rsid w:val="00FB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511C9F"/>
  <w15:docId w15:val="{D10C9E33-DE95-4803-A54F-CB2DE169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E1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6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617D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214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145A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14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145A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93223-1B8C-4951-86F4-D3EAA7D22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1098</Words>
  <Characters>6589</Characters>
  <Application>Microsoft Office Word</Application>
  <DocSecurity>4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Dziubdziela</dc:creator>
  <cp:lastModifiedBy>Monika Dziubdziela</cp:lastModifiedBy>
  <cp:revision>2</cp:revision>
  <cp:lastPrinted>2022-01-25T09:47:00Z</cp:lastPrinted>
  <dcterms:created xsi:type="dcterms:W3CDTF">2022-03-02T08:29:00Z</dcterms:created>
  <dcterms:modified xsi:type="dcterms:W3CDTF">2022-03-02T08:29:00Z</dcterms:modified>
</cp:coreProperties>
</file>