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C45D00B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</w:t>
      </w:r>
      <w:r w:rsidR="00065514">
        <w:rPr>
          <w:sz w:val="22"/>
          <w:szCs w:val="22"/>
        </w:rPr>
        <w:t>1</w:t>
      </w:r>
      <w:r w:rsidR="00167707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167707">
        <w:rPr>
          <w:sz w:val="22"/>
          <w:szCs w:val="22"/>
        </w:rPr>
        <w:t>16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654E56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D55162" w:rsidRPr="00D55162">
        <w:rPr>
          <w:b/>
          <w:bCs/>
          <w:sz w:val="22"/>
          <w:szCs w:val="22"/>
        </w:rPr>
        <w:t>59</w:t>
      </w:r>
      <w:r w:rsidR="005C5DE9">
        <w:rPr>
          <w:b/>
          <w:bCs/>
          <w:sz w:val="22"/>
          <w:szCs w:val="22"/>
        </w:rPr>
        <w:t>3</w:t>
      </w:r>
      <w:r w:rsidRPr="00D55162">
        <w:rPr>
          <w:b/>
          <w:bCs/>
          <w:sz w:val="22"/>
          <w:szCs w:val="22"/>
        </w:rPr>
        <w:t>/21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1EE2FD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34ADE77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D55162" w:rsidRPr="00D55162">
        <w:rPr>
          <w:b/>
          <w:bCs/>
          <w:sz w:val="22"/>
          <w:szCs w:val="22"/>
        </w:rPr>
        <w:t>Dostaw</w:t>
      </w:r>
      <w:r w:rsidR="00D55162">
        <w:rPr>
          <w:b/>
          <w:bCs/>
          <w:sz w:val="22"/>
          <w:szCs w:val="22"/>
        </w:rPr>
        <w:t>ę</w:t>
      </w:r>
      <w:r w:rsidR="00D55162" w:rsidRPr="00D55162">
        <w:rPr>
          <w:b/>
          <w:bCs/>
          <w:sz w:val="22"/>
          <w:szCs w:val="22"/>
        </w:rPr>
        <w:t xml:space="preserve"> </w:t>
      </w:r>
      <w:r w:rsidR="00167707">
        <w:rPr>
          <w:b/>
          <w:bCs/>
          <w:sz w:val="22"/>
          <w:szCs w:val="22"/>
        </w:rPr>
        <w:t xml:space="preserve">serwera (jednostki centralnej stacji roboczej) dla </w:t>
      </w:r>
      <w:proofErr w:type="spellStart"/>
      <w:r w:rsidR="00167707">
        <w:rPr>
          <w:b/>
          <w:bCs/>
          <w:sz w:val="22"/>
          <w:szCs w:val="22"/>
        </w:rPr>
        <w:t>WIMiR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D55162">
        <w:rPr>
          <w:b/>
          <w:sz w:val="22"/>
          <w:szCs w:val="22"/>
        </w:rPr>
        <w:t>59</w:t>
      </w:r>
      <w:r w:rsidR="00167707">
        <w:rPr>
          <w:b/>
          <w:sz w:val="22"/>
          <w:szCs w:val="22"/>
        </w:rPr>
        <w:t>3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F55A594" w14:textId="3CD14E68" w:rsidR="00167707" w:rsidRPr="00167707" w:rsidRDefault="00167707" w:rsidP="00167707">
      <w:pPr>
        <w:pStyle w:val="Akapitzlist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67707">
        <w:rPr>
          <w:sz w:val="22"/>
          <w:szCs w:val="22"/>
        </w:rPr>
        <w:t>Płyta główna</w:t>
      </w:r>
    </w:p>
    <w:p w14:paraId="7C0164DF" w14:textId="13591BBE" w:rsidR="00167707" w:rsidRPr="00167707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67707">
        <w:rPr>
          <w:sz w:val="22"/>
          <w:szCs w:val="22"/>
        </w:rPr>
        <w:t>Kompatybilna z oferowanym serwerem, wyposażona w chipset dedykowany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do pracy w serwerach dwuprocesorowych, obsługująca maksymalnie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przynajmniej 1TB RAM, umożliwiająca montaż do 4 jednostek GPU (z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 xml:space="preserve">pasywnym lub turbinowym chłodzeniem); </w:t>
      </w:r>
      <w:proofErr w:type="spellStart"/>
      <w:r w:rsidRPr="00167707">
        <w:rPr>
          <w:sz w:val="22"/>
          <w:szCs w:val="22"/>
        </w:rPr>
        <w:t>sloty</w:t>
      </w:r>
      <w:proofErr w:type="spellEnd"/>
      <w:r w:rsidRPr="00167707">
        <w:rPr>
          <w:sz w:val="22"/>
          <w:szCs w:val="22"/>
        </w:rPr>
        <w:t xml:space="preserve"> rozszerzeń: przynajmniej</w:t>
      </w:r>
    </w:p>
    <w:p w14:paraId="5C87CA74" w14:textId="77777777" w:rsidR="00167707" w:rsidRPr="00167707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67707">
        <w:rPr>
          <w:sz w:val="22"/>
          <w:szCs w:val="22"/>
        </w:rPr>
        <w:t xml:space="preserve">4x PCI-E 3.0 x16; min. 10 złączy SATA  III (6 </w:t>
      </w:r>
      <w:proofErr w:type="spellStart"/>
      <w:r w:rsidRPr="00167707">
        <w:rPr>
          <w:sz w:val="22"/>
          <w:szCs w:val="22"/>
        </w:rPr>
        <w:t>Gb</w:t>
      </w:r>
      <w:proofErr w:type="spellEnd"/>
      <w:r w:rsidRPr="00167707">
        <w:rPr>
          <w:sz w:val="22"/>
          <w:szCs w:val="22"/>
        </w:rPr>
        <w:t>/s).</w:t>
      </w:r>
    </w:p>
    <w:p w14:paraId="3D8957FB" w14:textId="41081D07" w:rsidR="00167707" w:rsidRPr="00167707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67707">
        <w:rPr>
          <w:sz w:val="22"/>
          <w:szCs w:val="22"/>
        </w:rPr>
        <w:t>Czy zamawiający dopuści możliwość zaoferowania dodatkowego kontrolera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lub wykorzystania na płycie głównej złącz SAS umożliwiających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podłączenie dysków SATA o łącznej ilości 10 dysków?</w:t>
      </w:r>
    </w:p>
    <w:p w14:paraId="59010D27" w14:textId="77777777" w:rsidR="00167707" w:rsidRPr="00167707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67707">
        <w:rPr>
          <w:sz w:val="22"/>
          <w:szCs w:val="22"/>
        </w:rPr>
        <w:t xml:space="preserve"> </w:t>
      </w:r>
    </w:p>
    <w:p w14:paraId="12933EB2" w14:textId="70A9CC2F" w:rsidR="00167707" w:rsidRPr="00167707" w:rsidRDefault="00167707" w:rsidP="00167707">
      <w:pPr>
        <w:pStyle w:val="Akapitzlist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67707">
        <w:rPr>
          <w:sz w:val="22"/>
          <w:szCs w:val="22"/>
        </w:rPr>
        <w:t>Zasilanie</w:t>
      </w:r>
    </w:p>
    <w:p w14:paraId="206BE0CB" w14:textId="40A26246" w:rsidR="00167707" w:rsidRPr="00167707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67707">
        <w:rPr>
          <w:sz w:val="22"/>
          <w:szCs w:val="22"/>
        </w:rPr>
        <w:t>Zasilacz o mocy minimum 1300W pracujący w sieci 230V 50/60Hz prądu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zmiennego z aktywnym PFC i efektywności min. 90%. Zasilacz wyposażony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w co najmniej trzy złącza do podłączenia dodatkowego zasilania dla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wydajnych kart graficznych.</w:t>
      </w:r>
    </w:p>
    <w:p w14:paraId="6BE7D914" w14:textId="77777777" w:rsidR="00130450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67707">
        <w:rPr>
          <w:sz w:val="22"/>
          <w:szCs w:val="22"/>
        </w:rPr>
        <w:t>Nowoczesne rozwiązania na rynku wykorzystują zasilanie dodatkowych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kart graficznych z płyty głównej daje do duże korzyści związane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między innymi  obsługą w przypadku awarii zasilacza. Procedura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 xml:space="preserve">wymiany tego elementu jest zdecydowanie prostsza. </w:t>
      </w:r>
    </w:p>
    <w:p w14:paraId="1CDBDBAC" w14:textId="1B854BA7" w:rsidR="00167707" w:rsidRPr="00167707" w:rsidRDefault="00167707" w:rsidP="00167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67707">
        <w:rPr>
          <w:sz w:val="22"/>
          <w:szCs w:val="22"/>
        </w:rPr>
        <w:t>Czy w związku z tym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Zamawiający dopuści rozwiązanie, które oferuje możliwość wpięcia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zasilacza jak i dodatkowych kart graficznych bezpośrednio do płyty</w:t>
      </w:r>
      <w:r w:rsidR="00130450"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głównej?</w:t>
      </w:r>
    </w:p>
    <w:p w14:paraId="5D3AD6D6" w14:textId="77777777" w:rsidR="00D55162" w:rsidRDefault="00D5516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611E611A" w:rsidR="00195EEE" w:rsidRPr="00F71FDA" w:rsidRDefault="00AE4A7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130450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169BAC1" w14:textId="3B8BB500" w:rsidR="00A954F0" w:rsidRPr="00D55162" w:rsidRDefault="00130450" w:rsidP="00690924">
      <w:pPr>
        <w:jc w:val="both"/>
        <w:rPr>
          <w:sz w:val="22"/>
          <w:szCs w:val="22"/>
        </w:rPr>
      </w:pPr>
      <w:r w:rsidRPr="00130450">
        <w:rPr>
          <w:b/>
          <w:bCs/>
          <w:sz w:val="22"/>
          <w:szCs w:val="22"/>
        </w:rPr>
        <w:t>Ad. 1</w:t>
      </w:r>
      <w:r>
        <w:rPr>
          <w:sz w:val="22"/>
          <w:szCs w:val="22"/>
        </w:rPr>
        <w:t xml:space="preserve"> Z</w:t>
      </w:r>
      <w:r w:rsidRPr="00167707">
        <w:rPr>
          <w:sz w:val="22"/>
          <w:szCs w:val="22"/>
        </w:rPr>
        <w:t xml:space="preserve">amawiający </w:t>
      </w:r>
      <w:r>
        <w:rPr>
          <w:sz w:val="22"/>
          <w:szCs w:val="22"/>
        </w:rPr>
        <w:t xml:space="preserve">nie </w:t>
      </w:r>
      <w:r w:rsidRPr="00167707">
        <w:rPr>
          <w:sz w:val="22"/>
          <w:szCs w:val="22"/>
        </w:rPr>
        <w:t>dopu</w:t>
      </w:r>
      <w:r>
        <w:rPr>
          <w:sz w:val="22"/>
          <w:szCs w:val="22"/>
        </w:rPr>
        <w:t>sz</w:t>
      </w:r>
      <w:r w:rsidRPr="00167707">
        <w:rPr>
          <w:sz w:val="22"/>
          <w:szCs w:val="22"/>
        </w:rPr>
        <w:t>c</w:t>
      </w:r>
      <w:r>
        <w:rPr>
          <w:sz w:val="22"/>
          <w:szCs w:val="22"/>
        </w:rPr>
        <w:t>za</w:t>
      </w:r>
      <w:r w:rsidRPr="00167707">
        <w:rPr>
          <w:sz w:val="22"/>
          <w:szCs w:val="22"/>
        </w:rPr>
        <w:t xml:space="preserve"> możliwoś</w:t>
      </w:r>
      <w:r>
        <w:rPr>
          <w:sz w:val="22"/>
          <w:szCs w:val="22"/>
        </w:rPr>
        <w:t>ci</w:t>
      </w:r>
      <w:r w:rsidRPr="00167707">
        <w:rPr>
          <w:sz w:val="22"/>
          <w:szCs w:val="22"/>
        </w:rPr>
        <w:t xml:space="preserve"> zaoferowania dodatkowego kontrolera</w:t>
      </w:r>
      <w:r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lub wykorzystania na płycie głównej złącz SAS umożliwiających</w:t>
      </w:r>
      <w:r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podłączenie dysków SATA o łącznej ilości 10 dysków</w:t>
      </w:r>
      <w:r>
        <w:rPr>
          <w:sz w:val="22"/>
          <w:szCs w:val="22"/>
        </w:rPr>
        <w:t>. Zapisy SWZ w tym zakresie pozostają bez zmian.</w:t>
      </w:r>
    </w:p>
    <w:p w14:paraId="4AC7A7B8" w14:textId="77777777" w:rsidR="00D55162" w:rsidRPr="00F71FDA" w:rsidRDefault="00D55162" w:rsidP="00690924">
      <w:pPr>
        <w:jc w:val="both"/>
        <w:rPr>
          <w:b/>
          <w:bCs/>
          <w:sz w:val="22"/>
          <w:szCs w:val="22"/>
        </w:rPr>
      </w:pPr>
    </w:p>
    <w:p w14:paraId="7A5CAE3B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152D6BA" w14:textId="2ABF0F11" w:rsidR="00152CAF" w:rsidRPr="00130450" w:rsidRDefault="00130450" w:rsidP="00024C4D">
      <w:pPr>
        <w:rPr>
          <w:b/>
          <w:bCs/>
          <w:sz w:val="22"/>
          <w:szCs w:val="22"/>
        </w:rPr>
      </w:pPr>
      <w:r w:rsidRPr="00130450">
        <w:rPr>
          <w:b/>
          <w:bCs/>
          <w:sz w:val="22"/>
          <w:szCs w:val="22"/>
        </w:rPr>
        <w:lastRenderedPageBreak/>
        <w:t xml:space="preserve">Ad. 2 </w:t>
      </w:r>
      <w:r w:rsidRPr="00167707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nie </w:t>
      </w:r>
      <w:r w:rsidRPr="00167707">
        <w:rPr>
          <w:sz w:val="22"/>
          <w:szCs w:val="22"/>
        </w:rPr>
        <w:t>dopu</w:t>
      </w:r>
      <w:r>
        <w:rPr>
          <w:sz w:val="22"/>
          <w:szCs w:val="22"/>
        </w:rPr>
        <w:t>szcza</w:t>
      </w:r>
      <w:r w:rsidRPr="00167707">
        <w:rPr>
          <w:sz w:val="22"/>
          <w:szCs w:val="22"/>
        </w:rPr>
        <w:t xml:space="preserve"> rozwiązani</w:t>
      </w:r>
      <w:r>
        <w:rPr>
          <w:sz w:val="22"/>
          <w:szCs w:val="22"/>
        </w:rPr>
        <w:t>a</w:t>
      </w:r>
      <w:r w:rsidRPr="00167707">
        <w:rPr>
          <w:sz w:val="22"/>
          <w:szCs w:val="22"/>
        </w:rPr>
        <w:t>, które oferuje możliwość wpięcia</w:t>
      </w:r>
      <w:r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zasilacza jak i dodatkowych kart graficznych bezpośrednio do płyty</w:t>
      </w:r>
      <w:r>
        <w:rPr>
          <w:sz w:val="22"/>
          <w:szCs w:val="22"/>
        </w:rPr>
        <w:t xml:space="preserve"> </w:t>
      </w:r>
      <w:r w:rsidRPr="00167707">
        <w:rPr>
          <w:sz w:val="22"/>
          <w:szCs w:val="22"/>
        </w:rPr>
        <w:t>głównej</w:t>
      </w:r>
      <w:r>
        <w:rPr>
          <w:sz w:val="22"/>
          <w:szCs w:val="22"/>
        </w:rPr>
        <w:t>. Zapisy SWZ w tym zakresie pozostają bez zmian.</w:t>
      </w:r>
    </w:p>
    <w:p w14:paraId="0552BD7C" w14:textId="77777777" w:rsidR="00130450" w:rsidRDefault="00130450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2C0087D4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ulega zmianie</w:t>
      </w:r>
      <w:r w:rsidR="00603FA7">
        <w:rPr>
          <w:b/>
          <w:bCs/>
          <w:i/>
          <w:iCs/>
          <w:color w:val="FF0000"/>
          <w:sz w:val="22"/>
          <w:szCs w:val="22"/>
        </w:rPr>
        <w:t>, o czym Zamawiający informuje w odrębnym piśmie.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88A53" w14:textId="77777777" w:rsidR="0061340C" w:rsidRDefault="0061340C">
      <w:r>
        <w:separator/>
      </w:r>
    </w:p>
  </w:endnote>
  <w:endnote w:type="continuationSeparator" w:id="0">
    <w:p w14:paraId="2BFA1F66" w14:textId="77777777" w:rsidR="0061340C" w:rsidRDefault="0061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FE9FA" w14:textId="77777777" w:rsidR="0061340C" w:rsidRDefault="0061340C">
      <w:r>
        <w:separator/>
      </w:r>
    </w:p>
  </w:footnote>
  <w:footnote w:type="continuationSeparator" w:id="0">
    <w:p w14:paraId="31C2071B" w14:textId="77777777" w:rsidR="0061340C" w:rsidRDefault="00613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2"/>
  </w:num>
  <w:num w:numId="6">
    <w:abstractNumId w:val="4"/>
  </w:num>
  <w:num w:numId="7">
    <w:abstractNumId w:val="15"/>
  </w:num>
  <w:num w:numId="8">
    <w:abstractNumId w:val="14"/>
  </w:num>
  <w:num w:numId="9">
    <w:abstractNumId w:val="1"/>
  </w:num>
  <w:num w:numId="10">
    <w:abstractNumId w:val="7"/>
  </w:num>
  <w:num w:numId="11">
    <w:abstractNumId w:val="5"/>
  </w:num>
  <w:num w:numId="12">
    <w:abstractNumId w:val="18"/>
  </w:num>
  <w:num w:numId="13">
    <w:abstractNumId w:val="20"/>
  </w:num>
  <w:num w:numId="14">
    <w:abstractNumId w:val="13"/>
  </w:num>
  <w:num w:numId="15">
    <w:abstractNumId w:val="0"/>
  </w:num>
  <w:num w:numId="16">
    <w:abstractNumId w:val="6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30450"/>
    <w:rsid w:val="00144B7A"/>
    <w:rsid w:val="00152CAF"/>
    <w:rsid w:val="00167707"/>
    <w:rsid w:val="00180C6E"/>
    <w:rsid w:val="00195EEE"/>
    <w:rsid w:val="001C04AE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83518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2021-12-16T14:22:00Z</cp:lastPrinted>
  <dcterms:created xsi:type="dcterms:W3CDTF">2021-12-16T13:38:00Z</dcterms:created>
  <dcterms:modified xsi:type="dcterms:W3CDTF">2021-12-16T14:22:00Z</dcterms:modified>
</cp:coreProperties>
</file>