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DF5" w:rsidRPr="00F7750D" w:rsidRDefault="00D80DF5" w:rsidP="00D80DF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80DF5" w:rsidRPr="00F7750D" w:rsidRDefault="00D80DF5" w:rsidP="00D80DF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80DF5" w:rsidRPr="00F7750D" w:rsidRDefault="00D80DF5" w:rsidP="00D80DF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80DF5" w:rsidRPr="00F7750D" w:rsidRDefault="00D80DF5" w:rsidP="00D80D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80DF5" w:rsidRPr="00F7750D" w:rsidRDefault="00D80DF5" w:rsidP="00D80DF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 w:rsidR="004B53CF">
        <w:rPr>
          <w:sz w:val="24"/>
          <w:szCs w:val="24"/>
        </w:rPr>
        <w:t>1</w:t>
      </w:r>
      <w:r w:rsidR="00BC145F">
        <w:rPr>
          <w:sz w:val="24"/>
          <w:szCs w:val="24"/>
        </w:rPr>
        <w:t>8</w:t>
      </w:r>
    </w:p>
    <w:p w:rsidR="00D80DF5" w:rsidRPr="00F7750D" w:rsidRDefault="00D80DF5" w:rsidP="00D80DF5">
      <w:pPr>
        <w:rPr>
          <w:sz w:val="24"/>
          <w:szCs w:val="24"/>
        </w:rPr>
      </w:pPr>
    </w:p>
    <w:p w:rsidR="00D80DF5" w:rsidRPr="00F7750D" w:rsidRDefault="00D80DF5" w:rsidP="00D80DF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80DF5" w:rsidRPr="00F7750D" w:rsidRDefault="00D80DF5" w:rsidP="00D80D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80DF5" w:rsidRPr="00F7750D" w:rsidRDefault="00D80DF5" w:rsidP="00D80DF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80DF5" w:rsidRPr="001C2C42" w:rsidRDefault="00D80DF5" w:rsidP="00D80DF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80DF5" w:rsidRDefault="00D80DF5" w:rsidP="00D80DF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80DF5" w:rsidRPr="000A1C0E" w:rsidRDefault="00D80DF5" w:rsidP="00D80DF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80DF5" w:rsidRPr="000A1C0E" w:rsidRDefault="00D80DF5" w:rsidP="00D80DF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D80DF5" w:rsidRDefault="00D80DF5" w:rsidP="00D80DF5">
      <w:pPr>
        <w:jc w:val="both"/>
        <w:rPr>
          <w:i/>
          <w:sz w:val="22"/>
          <w:szCs w:val="22"/>
        </w:rPr>
      </w:pPr>
    </w:p>
    <w:p w:rsidR="00D80DF5" w:rsidRDefault="00D80DF5" w:rsidP="00D80DF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80DF5" w:rsidRDefault="00D80DF5" w:rsidP="00D80DF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80DF5" w:rsidRPr="00C81F26" w:rsidRDefault="00D80DF5" w:rsidP="00D80DF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D80DF5" w:rsidRDefault="00D80DF5" w:rsidP="00D80DF5">
      <w:pPr>
        <w:jc w:val="both"/>
        <w:rPr>
          <w:b/>
          <w:sz w:val="22"/>
          <w:szCs w:val="22"/>
        </w:rPr>
      </w:pPr>
    </w:p>
    <w:p w:rsidR="00D80DF5" w:rsidRDefault="00D80DF5" w:rsidP="00D80DF5">
      <w:pPr>
        <w:jc w:val="both"/>
        <w:rPr>
          <w:sz w:val="22"/>
          <w:szCs w:val="22"/>
        </w:rPr>
      </w:pPr>
    </w:p>
    <w:p w:rsidR="00D80DF5" w:rsidRDefault="00D80DF5" w:rsidP="004B53CF">
      <w:pPr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4B53CF" w:rsidRPr="00F7750D" w:rsidRDefault="004B53CF" w:rsidP="004B53CF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30D0C" w:rsidRPr="006A5DF1" w:rsidTr="00515DA3">
        <w:tc>
          <w:tcPr>
            <w:tcW w:w="9356" w:type="dxa"/>
            <w:shd w:val="clear" w:color="auto" w:fill="auto"/>
          </w:tcPr>
          <w:p w:rsidR="00D80DF5" w:rsidRDefault="00D30D0C" w:rsidP="004B53C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D30D0C">
              <w:rPr>
                <w:sz w:val="22"/>
                <w:szCs w:val="22"/>
              </w:rPr>
              <w:t xml:space="preserve">1. </w:t>
            </w:r>
            <w:r w:rsidRPr="00D80DF5">
              <w:rPr>
                <w:sz w:val="24"/>
                <w:szCs w:val="24"/>
              </w:rPr>
              <w:t xml:space="preserve">Czy Zamawiający w zakresie Pakietu 1 w poz. 1,2,3,4,5,6,7 wyrazi zgodę na </w:t>
            </w:r>
            <w:proofErr w:type="spellStart"/>
            <w:r w:rsidRPr="00D80DF5">
              <w:rPr>
                <w:sz w:val="24"/>
                <w:szCs w:val="24"/>
              </w:rPr>
              <w:t>zaaoferowanie</w:t>
            </w:r>
            <w:proofErr w:type="spellEnd"/>
            <w:r w:rsidRPr="00D80DF5">
              <w:rPr>
                <w:sz w:val="24"/>
                <w:szCs w:val="24"/>
              </w:rPr>
              <w:t xml:space="preserve"> produktów w opakowaniach typu worek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>”,</w:t>
            </w:r>
            <w:r w:rsidR="008B14D0">
              <w:rPr>
                <w:sz w:val="24"/>
                <w:szCs w:val="24"/>
              </w:rPr>
              <w:t xml:space="preserve"> </w:t>
            </w:r>
            <w:r w:rsidRPr="00D80DF5">
              <w:rPr>
                <w:sz w:val="24"/>
                <w:szCs w:val="24"/>
              </w:rPr>
              <w:t>z zintegrowanym otworem do zawieszania, dwoma osobnymi portami? Worki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” zmniejszają ryzyko wystąpienia zakażeń </w:t>
            </w:r>
            <w:proofErr w:type="spellStart"/>
            <w:r w:rsidRPr="00D80DF5">
              <w:rPr>
                <w:sz w:val="24"/>
                <w:szCs w:val="24"/>
              </w:rPr>
              <w:t>odcewnikowych</w:t>
            </w:r>
            <w:proofErr w:type="spellEnd"/>
            <w:r w:rsidRPr="00D80DF5">
              <w:rPr>
                <w:sz w:val="24"/>
                <w:szCs w:val="24"/>
              </w:rPr>
              <w:t xml:space="preserve"> o ponad 60% ponieważ zaproponowane rozwiązanie umożliwia podawanie wlewu kroplowego w systemie zamkniętym. Uzasadnienie: Wyrażenie zgody na zaoferowanie produktów w opakowaniu typu worki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zapewni Państwu podaż płynó</w:t>
            </w:r>
            <w:r w:rsidR="00D80DF5">
              <w:rPr>
                <w:sz w:val="24"/>
                <w:szCs w:val="24"/>
              </w:rPr>
              <w:t>w infuzyjnych w systemie zamknię</w:t>
            </w:r>
            <w:r w:rsidRPr="00D80DF5">
              <w:rPr>
                <w:sz w:val="24"/>
                <w:szCs w:val="24"/>
              </w:rPr>
              <w:t>tym, co w obecnej sytuacji zagrożenia sanitarno-</w:t>
            </w:r>
            <w:r w:rsidR="00D80DF5">
              <w:rPr>
                <w:sz w:val="24"/>
                <w:szCs w:val="24"/>
              </w:rPr>
              <w:t>epidemiologicznego znacząco zwię</w:t>
            </w:r>
            <w:r w:rsidRPr="00D80DF5">
              <w:rPr>
                <w:sz w:val="24"/>
                <w:szCs w:val="24"/>
              </w:rPr>
              <w:t xml:space="preserve">ksza bezpieczeństwo personelu medycznego oraz pacjentów. Worki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wyposażone są w dwa porty, z których port do infuzji jest portem jałowym, w którym jednorazowo umieszczamy kolec aparatu do przetoczeń. Port drugi jest portem do </w:t>
            </w:r>
            <w:proofErr w:type="spellStart"/>
            <w:r w:rsidRPr="00D80DF5">
              <w:rPr>
                <w:sz w:val="24"/>
                <w:szCs w:val="24"/>
              </w:rPr>
              <w:t>dostrzykowania</w:t>
            </w:r>
            <w:proofErr w:type="spellEnd"/>
            <w:r w:rsidRPr="00D80DF5">
              <w:rPr>
                <w:sz w:val="24"/>
                <w:szCs w:val="24"/>
              </w:rPr>
              <w:t xml:space="preserve"> leków i jest to port, który ma </w:t>
            </w:r>
            <w:proofErr w:type="spellStart"/>
            <w:r w:rsidRPr="00D80DF5">
              <w:rPr>
                <w:sz w:val="24"/>
                <w:szCs w:val="24"/>
              </w:rPr>
              <w:t>samozasklepiającą</w:t>
            </w:r>
            <w:proofErr w:type="spellEnd"/>
            <w:r w:rsidRPr="00D80DF5">
              <w:rPr>
                <w:sz w:val="24"/>
                <w:szCs w:val="24"/>
              </w:rPr>
              <w:t xml:space="preserve"> się membranę, dzięki której można wielokrotnie podawać leki do worka. Port ten jest portem do </w:t>
            </w:r>
            <w:proofErr w:type="spellStart"/>
            <w:r w:rsidRPr="00D80DF5">
              <w:rPr>
                <w:sz w:val="24"/>
                <w:szCs w:val="24"/>
              </w:rPr>
              <w:t>dostrzykowania</w:t>
            </w:r>
            <w:proofErr w:type="spellEnd"/>
            <w:r w:rsidRPr="00D80DF5">
              <w:rPr>
                <w:sz w:val="24"/>
                <w:szCs w:val="24"/>
              </w:rPr>
              <w:t xml:space="preserve"> leków i jest to port, który w procesie produkcyjnym, podobnie jak cały worek opakowany w folię zewnętrzną jest sterylizowany parowo. W tym miejscu warto podkreślić, iż jedynie ze względów bezpieczeństwa zarówno pacjentów jak i placówek medycznych, zalecamy dezynfekowanie portu do iniekcji. W związku z tym , że worki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>” podają płyny w systemie zamkniętym charakteryzują się niską objętością resztkową i dostarczają ponad 98% obj</w:t>
            </w:r>
            <w:r w:rsidR="00D80DF5">
              <w:rPr>
                <w:sz w:val="24"/>
                <w:szCs w:val="24"/>
              </w:rPr>
              <w:t>ę</w:t>
            </w:r>
            <w:r w:rsidRPr="00D80DF5">
              <w:rPr>
                <w:sz w:val="24"/>
                <w:szCs w:val="24"/>
              </w:rPr>
              <w:t xml:space="preserve">tości leku, co obniża koszty i pozwala na efektywne wykorzystanie produktu i ewentualnie </w:t>
            </w:r>
            <w:proofErr w:type="spellStart"/>
            <w:r w:rsidRPr="00D80DF5">
              <w:rPr>
                <w:sz w:val="24"/>
                <w:szCs w:val="24"/>
              </w:rPr>
              <w:t>dostrzykniętego</w:t>
            </w:r>
            <w:proofErr w:type="spellEnd"/>
            <w:r w:rsidRPr="00D80DF5">
              <w:rPr>
                <w:sz w:val="24"/>
                <w:szCs w:val="24"/>
              </w:rPr>
              <w:t xml:space="preserve"> leku znajdującego się w worku. Warto podkreślić, że dopuszczenie przez Zamawiającego możliwości zaoferowania takich właśnie produktów podniosłoby konkurencyjność składanych ofert co w konsekwencji pozwoliłoby na znaczne poszerzenie wyboru przedmiotu zamówienia najlepszej jakości w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>aspekcie medycznym i terapeutycznym, a także na zyskanie realnych oszczędności. Ze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>szczególnym uwzględnieniem oszczędności kosztów utylizacji odpadów medycznych o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 xml:space="preserve">prawie 50% wynikających z mniejszej wagi opakowań worków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po podaży płynu. </w:t>
            </w:r>
          </w:p>
          <w:p w:rsidR="00487CB2" w:rsidRDefault="00487CB2" w:rsidP="004B53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487CB2" w:rsidRDefault="00487CB2" w:rsidP="004B53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D80DF5" w:rsidRPr="008B14D0" w:rsidRDefault="008B14D0" w:rsidP="004B53C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8B14D0">
              <w:rPr>
                <w:b/>
                <w:sz w:val="24"/>
                <w:szCs w:val="24"/>
              </w:rPr>
              <w:lastRenderedPageBreak/>
              <w:t>Odp.:</w:t>
            </w:r>
          </w:p>
          <w:p w:rsidR="008B14D0" w:rsidRDefault="002878E4" w:rsidP="00515D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="00487CB2">
              <w:rPr>
                <w:sz w:val="24"/>
                <w:szCs w:val="24"/>
              </w:rPr>
              <w:t xml:space="preserve">w Pakiecie nr 1 poz. 1, 2, 3, 4, 5, 6, 7 </w:t>
            </w:r>
            <w:r>
              <w:rPr>
                <w:sz w:val="24"/>
                <w:szCs w:val="24"/>
              </w:rPr>
              <w:t>zaoferowanie produktów w</w:t>
            </w:r>
            <w:r w:rsidR="00487CB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 xml:space="preserve">opakowaniach typu worek </w:t>
            </w:r>
            <w:r w:rsidR="00487CB2" w:rsidRPr="00D80DF5">
              <w:rPr>
                <w:sz w:val="24"/>
                <w:szCs w:val="24"/>
              </w:rPr>
              <w:t>„</w:t>
            </w:r>
            <w:proofErr w:type="spellStart"/>
            <w:r w:rsidR="00487CB2" w:rsidRPr="00D80DF5">
              <w:rPr>
                <w:sz w:val="24"/>
                <w:szCs w:val="24"/>
              </w:rPr>
              <w:t>Viaflo</w:t>
            </w:r>
            <w:proofErr w:type="spellEnd"/>
            <w:r w:rsidR="00487CB2" w:rsidRPr="00D80DF5">
              <w:rPr>
                <w:sz w:val="24"/>
                <w:szCs w:val="24"/>
              </w:rPr>
              <w:t>”</w:t>
            </w:r>
            <w:r w:rsidR="00487C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pod warunkiem spełnienia pozostałych parametrów w</w:t>
            </w:r>
            <w:r w:rsidR="00487CB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 xml:space="preserve">SWZ w tym dot. jałowości portów.  </w:t>
            </w:r>
          </w:p>
          <w:p w:rsidR="00D80DF5" w:rsidRDefault="00D80DF5" w:rsidP="00487CB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30D0C" w:rsidRPr="00D80DF5" w:rsidRDefault="00D30D0C" w:rsidP="008B14D0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 w:rsidRPr="00D80DF5">
              <w:rPr>
                <w:sz w:val="24"/>
                <w:szCs w:val="24"/>
              </w:rPr>
              <w:t xml:space="preserve">2. Czy Zamawiający w zakresie Pakietu 32 w poz. 1 wyrazi zgodę na </w:t>
            </w:r>
            <w:proofErr w:type="spellStart"/>
            <w:r w:rsidRPr="00D80DF5">
              <w:rPr>
                <w:sz w:val="24"/>
                <w:szCs w:val="24"/>
              </w:rPr>
              <w:t>zaaoferowanie</w:t>
            </w:r>
            <w:proofErr w:type="spellEnd"/>
            <w:r w:rsidRPr="00D80DF5">
              <w:rPr>
                <w:sz w:val="24"/>
                <w:szCs w:val="24"/>
              </w:rPr>
              <w:t xml:space="preserve"> produktów w opakowaniach typu worek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>”,</w:t>
            </w:r>
            <w:r w:rsidR="008B14D0">
              <w:rPr>
                <w:sz w:val="24"/>
                <w:szCs w:val="24"/>
              </w:rPr>
              <w:t xml:space="preserve"> </w:t>
            </w:r>
            <w:r w:rsidRPr="00D80DF5">
              <w:rPr>
                <w:sz w:val="24"/>
                <w:szCs w:val="24"/>
              </w:rPr>
              <w:t>z zintegrowanym otworem do zawieszania, dwoma osobnymi portami? Worki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” zmniejszają ryzyko wystąpienia zakażeń </w:t>
            </w:r>
            <w:proofErr w:type="spellStart"/>
            <w:r w:rsidRPr="00D80DF5">
              <w:rPr>
                <w:sz w:val="24"/>
                <w:szCs w:val="24"/>
              </w:rPr>
              <w:t>odcewnikowych</w:t>
            </w:r>
            <w:proofErr w:type="spellEnd"/>
            <w:r w:rsidRPr="00D80DF5">
              <w:rPr>
                <w:sz w:val="24"/>
                <w:szCs w:val="24"/>
              </w:rPr>
              <w:t xml:space="preserve"> o ponad 60% ponieważ zaproponowane rozwiązanie umożliwia podawanie wlewu kroplowego w systemie zamkniętym. Uzasadnienie: Wyrażenie zgody na zaoferowanie produktów w opakowaniu typu worki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zapewni Państwu podaż płynów infuzyjnych w systemie zamkni</w:t>
            </w:r>
            <w:r w:rsidR="008B14D0">
              <w:rPr>
                <w:sz w:val="24"/>
                <w:szCs w:val="24"/>
              </w:rPr>
              <w:t>ę</w:t>
            </w:r>
            <w:r w:rsidRPr="00D80DF5">
              <w:rPr>
                <w:sz w:val="24"/>
                <w:szCs w:val="24"/>
              </w:rPr>
              <w:t>tym, co w obecnej sytuacji zagrożenia sanitarno-epidemiologicznego znacząco zwi</w:t>
            </w:r>
            <w:r w:rsidR="008B14D0">
              <w:rPr>
                <w:sz w:val="24"/>
                <w:szCs w:val="24"/>
              </w:rPr>
              <w:t>ę</w:t>
            </w:r>
            <w:r w:rsidRPr="00D80DF5">
              <w:rPr>
                <w:sz w:val="24"/>
                <w:szCs w:val="24"/>
              </w:rPr>
              <w:t xml:space="preserve">ksza bezpieczeństwo personelu medycznego oraz pacjentów. Worki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wyposażone są w dwa porty, z których port do infuzji jest portem jałowym, w którym jednorazowo umieszczamy kolec aparatu do przetoczeń. Port drugi jest portem do </w:t>
            </w:r>
            <w:proofErr w:type="spellStart"/>
            <w:r w:rsidRPr="00D80DF5">
              <w:rPr>
                <w:sz w:val="24"/>
                <w:szCs w:val="24"/>
              </w:rPr>
              <w:t>dostrzykowania</w:t>
            </w:r>
            <w:proofErr w:type="spellEnd"/>
            <w:r w:rsidRPr="00D80DF5">
              <w:rPr>
                <w:sz w:val="24"/>
                <w:szCs w:val="24"/>
              </w:rPr>
              <w:t xml:space="preserve"> leków i jest to port, który ma </w:t>
            </w:r>
            <w:proofErr w:type="spellStart"/>
            <w:r w:rsidRPr="00D80DF5">
              <w:rPr>
                <w:sz w:val="24"/>
                <w:szCs w:val="24"/>
              </w:rPr>
              <w:t>samozasklepiającą</w:t>
            </w:r>
            <w:proofErr w:type="spellEnd"/>
            <w:r w:rsidRPr="00D80DF5">
              <w:rPr>
                <w:sz w:val="24"/>
                <w:szCs w:val="24"/>
              </w:rPr>
              <w:t xml:space="preserve"> się membranę, dzięki której można wielokrotnie podawać leki do worka. Port ten jest portem do </w:t>
            </w:r>
            <w:proofErr w:type="spellStart"/>
            <w:r w:rsidRPr="00D80DF5">
              <w:rPr>
                <w:sz w:val="24"/>
                <w:szCs w:val="24"/>
              </w:rPr>
              <w:t>dostrzykowania</w:t>
            </w:r>
            <w:proofErr w:type="spellEnd"/>
            <w:r w:rsidRPr="00D80DF5">
              <w:rPr>
                <w:sz w:val="24"/>
                <w:szCs w:val="24"/>
              </w:rPr>
              <w:t xml:space="preserve"> leków i jest to port, który w procesie produkcyjnym, podobnie jak cały worek opakowany w folię zewnętrzną jest sterylizowany parowo. W tym miejscu warto podkreślić, iż jedynie ze względów bezpieczeństwa zarówno pacjentów jak i placówek medycznych, zalecamy dezynfekowanie portu do iniekcji. W związku z tym , że worki „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>” podają płyny w systemie zamkniętym charakteryzują się niską objętością resztkową i dostarczają ponad 98% obj</w:t>
            </w:r>
            <w:r w:rsidR="008B14D0">
              <w:rPr>
                <w:sz w:val="24"/>
                <w:szCs w:val="24"/>
              </w:rPr>
              <w:t>ę</w:t>
            </w:r>
            <w:r w:rsidRPr="00D80DF5">
              <w:rPr>
                <w:sz w:val="24"/>
                <w:szCs w:val="24"/>
              </w:rPr>
              <w:t xml:space="preserve">tości leku, co obniża koszty i pozwala na efektywne wykorzystanie produktu i ewentualnie </w:t>
            </w:r>
            <w:proofErr w:type="spellStart"/>
            <w:r w:rsidRPr="00D80DF5">
              <w:rPr>
                <w:sz w:val="24"/>
                <w:szCs w:val="24"/>
              </w:rPr>
              <w:t>dostrzykniętego</w:t>
            </w:r>
            <w:proofErr w:type="spellEnd"/>
            <w:r w:rsidRPr="00D80DF5">
              <w:rPr>
                <w:sz w:val="24"/>
                <w:szCs w:val="24"/>
              </w:rPr>
              <w:t xml:space="preserve"> leku znajdującego się w worku. Warto podkreślić, że dopuszczenie przez Zamawiającego możliwości zaoferowania takich właśnie produktów podniosłoby konkurencyjność składanych ofert co w konsekwencji pozwoliłoby na znaczne poszerzenie wyboru przedmiotu zamówienia najlepszej jakości w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>aspekcie medycznym i terapeutycznym, a także na zyskanie realnych oszczędności. Ze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>szczególnym uwzględnieniem oszczędności kosztów utylizacji odpadów medycznych o</w:t>
            </w:r>
            <w:r w:rsidR="008B14D0">
              <w:rPr>
                <w:sz w:val="24"/>
                <w:szCs w:val="24"/>
              </w:rPr>
              <w:t> </w:t>
            </w:r>
            <w:r w:rsidRPr="00D80DF5">
              <w:rPr>
                <w:sz w:val="24"/>
                <w:szCs w:val="24"/>
              </w:rPr>
              <w:t xml:space="preserve">prawie 50% wynikających z mniejszej wagi opakowań worków </w:t>
            </w:r>
            <w:proofErr w:type="spellStart"/>
            <w:r w:rsidRPr="00D80DF5">
              <w:rPr>
                <w:sz w:val="24"/>
                <w:szCs w:val="24"/>
              </w:rPr>
              <w:t>Viaflo</w:t>
            </w:r>
            <w:proofErr w:type="spellEnd"/>
            <w:r w:rsidRPr="00D80DF5">
              <w:rPr>
                <w:sz w:val="24"/>
                <w:szCs w:val="24"/>
              </w:rPr>
              <w:t xml:space="preserve"> po podaży płynu.</w:t>
            </w:r>
          </w:p>
          <w:p w:rsidR="000A1E46" w:rsidRDefault="000A1E46" w:rsidP="000A1E46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8B14D0">
              <w:rPr>
                <w:b/>
                <w:sz w:val="24"/>
                <w:szCs w:val="24"/>
              </w:rPr>
              <w:t>Odp.:</w:t>
            </w:r>
          </w:p>
          <w:p w:rsidR="004452DF" w:rsidRPr="004452DF" w:rsidRDefault="006C6DDE" w:rsidP="000A1E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Zgodnie z SWZ. </w:t>
            </w:r>
            <w:r w:rsidR="004452DF" w:rsidRPr="004452DF">
              <w:rPr>
                <w:sz w:val="24"/>
                <w:szCs w:val="24"/>
              </w:rPr>
              <w:t xml:space="preserve">Produkt </w:t>
            </w:r>
            <w:r w:rsidR="004452DF">
              <w:rPr>
                <w:sz w:val="24"/>
                <w:szCs w:val="24"/>
              </w:rPr>
              <w:t>używany do operacji fakoemulsyfikacji zaćmy oraz witrektomii</w:t>
            </w:r>
            <w:r w:rsidR="00BC145F">
              <w:rPr>
                <w:sz w:val="24"/>
                <w:szCs w:val="24"/>
              </w:rPr>
              <w:t>. Butelka niezbędna do zabiegu w celu utrzymania niezbędnego ciśnienia w komorze przedniej gałki ocznej.</w:t>
            </w:r>
            <w:r w:rsidR="004452DF">
              <w:rPr>
                <w:sz w:val="24"/>
                <w:szCs w:val="24"/>
              </w:rPr>
              <w:t xml:space="preserve"> </w:t>
            </w:r>
          </w:p>
          <w:p w:rsidR="00D30D0C" w:rsidRPr="00D30D0C" w:rsidRDefault="00D30D0C" w:rsidP="00515D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5E4803" w:rsidRDefault="005E4803" w:rsidP="005E480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E4803" w:rsidRDefault="005E4803" w:rsidP="005E480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E4803" w:rsidRDefault="005E4803" w:rsidP="005E4803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5E4803" w:rsidRDefault="005E4803" w:rsidP="005E480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E4803" w:rsidRDefault="005E4803" w:rsidP="005E4803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5E4803" w:rsidRPr="008A1F47" w:rsidRDefault="00BC145F" w:rsidP="005E4803">
      <w:pPr>
        <w:jc w:val="right"/>
        <w:rPr>
          <w:b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D8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787" w:rsidRDefault="005C6787">
      <w:r>
        <w:separator/>
      </w:r>
    </w:p>
  </w:endnote>
  <w:endnote w:type="continuationSeparator" w:id="0">
    <w:p w:rsidR="005C6787" w:rsidRDefault="005C6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737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737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7372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17E6" w:rsidRPr="00F217E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787" w:rsidRDefault="005C6787">
      <w:r>
        <w:separator/>
      </w:r>
    </w:p>
  </w:footnote>
  <w:footnote w:type="continuationSeparator" w:id="0">
    <w:p w:rsidR="005C6787" w:rsidRDefault="005C6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D0C" w:rsidRDefault="00D30D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D0C" w:rsidRDefault="00D30D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D0C" w:rsidRDefault="00D30D0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D0C"/>
    <w:rsid w:val="00031374"/>
    <w:rsid w:val="000A1097"/>
    <w:rsid w:val="000A1E46"/>
    <w:rsid w:val="000E2A8F"/>
    <w:rsid w:val="0012774F"/>
    <w:rsid w:val="00144B7A"/>
    <w:rsid w:val="00180C6E"/>
    <w:rsid w:val="00240411"/>
    <w:rsid w:val="002878E4"/>
    <w:rsid w:val="0029606A"/>
    <w:rsid w:val="004452DF"/>
    <w:rsid w:val="004848F3"/>
    <w:rsid w:val="00487CB2"/>
    <w:rsid w:val="004A75F2"/>
    <w:rsid w:val="004B53CF"/>
    <w:rsid w:val="005144A9"/>
    <w:rsid w:val="00520165"/>
    <w:rsid w:val="005B1B08"/>
    <w:rsid w:val="005C6787"/>
    <w:rsid w:val="005E4803"/>
    <w:rsid w:val="00632C3C"/>
    <w:rsid w:val="00662BDB"/>
    <w:rsid w:val="006A5DF1"/>
    <w:rsid w:val="006B7198"/>
    <w:rsid w:val="006C6DDE"/>
    <w:rsid w:val="006D4AB3"/>
    <w:rsid w:val="006F3B81"/>
    <w:rsid w:val="00743B40"/>
    <w:rsid w:val="007D7198"/>
    <w:rsid w:val="00870F9F"/>
    <w:rsid w:val="008804B6"/>
    <w:rsid w:val="00897AB0"/>
    <w:rsid w:val="008A3553"/>
    <w:rsid w:val="008B14D0"/>
    <w:rsid w:val="00947A50"/>
    <w:rsid w:val="00A32623"/>
    <w:rsid w:val="00A905AC"/>
    <w:rsid w:val="00B73724"/>
    <w:rsid w:val="00BA6584"/>
    <w:rsid w:val="00BC145F"/>
    <w:rsid w:val="00BE7BFD"/>
    <w:rsid w:val="00BF5B3E"/>
    <w:rsid w:val="00C370F2"/>
    <w:rsid w:val="00C44EEC"/>
    <w:rsid w:val="00D22FFA"/>
    <w:rsid w:val="00D30D0C"/>
    <w:rsid w:val="00D80DF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7E6"/>
    <w:rsid w:val="00F57C7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B3E"/>
  </w:style>
  <w:style w:type="paragraph" w:styleId="Nagwek1">
    <w:name w:val="heading 1"/>
    <w:basedOn w:val="Normalny"/>
    <w:next w:val="Normalny"/>
    <w:link w:val="Nagwek1Znak"/>
    <w:qFormat/>
    <w:rsid w:val="00BF5B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5B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F5B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5B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5B3E"/>
  </w:style>
  <w:style w:type="paragraph" w:styleId="Tekstpodstawowywcity">
    <w:name w:val="Body Text Indent"/>
    <w:basedOn w:val="Normalny"/>
    <w:rsid w:val="00BF5B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F5B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F5B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BF5B3E"/>
    <w:rPr>
      <w:sz w:val="28"/>
    </w:rPr>
  </w:style>
  <w:style w:type="paragraph" w:styleId="Tekstpodstawowywcity3">
    <w:name w:val="Body Text Indent 3"/>
    <w:basedOn w:val="Normalny"/>
    <w:rsid w:val="00BF5B3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80DF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80DF5"/>
  </w:style>
  <w:style w:type="character" w:customStyle="1" w:styleId="TekstpodstawowyZnak">
    <w:name w:val="Tekst podstawowy Znak"/>
    <w:basedOn w:val="Domylnaczcionkaakapitu"/>
    <w:link w:val="Tekstpodstawowy"/>
    <w:rsid w:val="005E480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706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2021-10-18T11:18:00Z</cp:lastPrinted>
  <dcterms:created xsi:type="dcterms:W3CDTF">2021-10-18T11:19:00Z</dcterms:created>
  <dcterms:modified xsi:type="dcterms:W3CDTF">2021-10-18T11:19:00Z</dcterms:modified>
</cp:coreProperties>
</file>