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2C535" w14:textId="77777777" w:rsidR="004D06DA" w:rsidRPr="00586608" w:rsidRDefault="004D06DA" w:rsidP="004D06DA">
      <w:pPr>
        <w:spacing w:after="0" w:line="240" w:lineRule="auto"/>
        <w:jc w:val="center"/>
        <w:rPr>
          <w:b/>
          <w:bCs/>
        </w:rPr>
      </w:pPr>
      <w:r w:rsidRPr="00586608">
        <w:rPr>
          <w:b/>
          <w:bCs/>
          <w:noProof/>
        </w:rPr>
        <w:drawing>
          <wp:inline distT="0" distB="0" distL="0" distR="0" wp14:anchorId="3B795A20" wp14:editId="398354C4">
            <wp:extent cx="5760720" cy="532765"/>
            <wp:effectExtent l="0" t="0" r="0" b="635"/>
            <wp:docPr id="208608612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A6116" w14:textId="7A8BD4C6" w:rsidR="006D6FAF" w:rsidRPr="006D6FAF" w:rsidRDefault="006D6FAF" w:rsidP="006D6FAF">
      <w:pPr>
        <w:jc w:val="right"/>
        <w:rPr>
          <w:rFonts w:ascii="Arial" w:hAnsi="Arial" w:cs="Arial"/>
        </w:rPr>
      </w:pPr>
      <w:r w:rsidRPr="006D6FAF">
        <w:rPr>
          <w:rFonts w:ascii="Arial" w:hAnsi="Arial" w:cs="Arial"/>
        </w:rPr>
        <w:t>Załącznik nr A do SWZ</w:t>
      </w:r>
    </w:p>
    <w:p w14:paraId="4B6D8E40" w14:textId="215A1C34" w:rsidR="006D6FAF" w:rsidRPr="006D6FAF" w:rsidRDefault="006D6FAF" w:rsidP="006D6FA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D6FAF">
        <w:rPr>
          <w:rFonts w:ascii="Arial" w:hAnsi="Arial" w:cs="Arial"/>
          <w:b/>
          <w:bCs/>
          <w:sz w:val="24"/>
          <w:szCs w:val="24"/>
        </w:rPr>
        <w:t>Opis przedmiotu zamówienia</w:t>
      </w:r>
    </w:p>
    <w:p w14:paraId="1CA8457E" w14:textId="5D47FBD9" w:rsidR="00C003FA" w:rsidRPr="006D6FAF" w:rsidRDefault="006D6FAF" w:rsidP="006D6FAF">
      <w:pPr>
        <w:jc w:val="center"/>
        <w:rPr>
          <w:rFonts w:ascii="Arial" w:hAnsi="Arial" w:cs="Arial"/>
          <w:sz w:val="24"/>
          <w:szCs w:val="24"/>
          <w:u w:val="single"/>
        </w:rPr>
      </w:pPr>
      <w:r w:rsidRPr="006D6FAF">
        <w:rPr>
          <w:rFonts w:ascii="Arial" w:hAnsi="Arial" w:cs="Arial"/>
          <w:b/>
          <w:bCs/>
          <w:sz w:val="24"/>
          <w:szCs w:val="24"/>
          <w:u w:val="single"/>
        </w:rPr>
        <w:t>CZĘSĆ 2 - Sukcesywna sprzedaż z dostawą materiałów laboratoryjnych z prawem opcji</w:t>
      </w:r>
    </w:p>
    <w:p w14:paraId="5897E895" w14:textId="77777777" w:rsidR="00B037B1" w:rsidRPr="00B037B1" w:rsidRDefault="00B037B1" w:rsidP="00B037B1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Końcówki działające na zasadzie bezpośredniego wypierania. </w:t>
      </w:r>
      <w:r w:rsidRPr="00B037B1">
        <w:rPr>
          <w:rFonts w:ascii="Arial" w:hAnsi="Arial" w:cs="Arial"/>
        </w:rPr>
        <w:br/>
        <w:t xml:space="preserve">Końcówki działają w zakresie objętości: 2µl - 200µl. Krok dozowania co 0,2µl. </w:t>
      </w:r>
      <w:r w:rsidRPr="00B037B1">
        <w:rPr>
          <w:rFonts w:ascii="Arial" w:hAnsi="Arial" w:cs="Arial"/>
        </w:rPr>
        <w:br/>
        <w:t xml:space="preserve">Czystość końcówek: niesterylne. </w:t>
      </w:r>
      <w:r w:rsidRPr="00B037B1">
        <w:rPr>
          <w:rFonts w:ascii="Arial" w:hAnsi="Arial" w:cs="Arial"/>
        </w:rPr>
        <w:br/>
        <w:t xml:space="preserve">Nie zawierają inhibitorów reakcji PCR, ludzkiego DNA, DNAz oraz RNAz. </w:t>
      </w:r>
      <w:r w:rsidRPr="00B037B1">
        <w:rPr>
          <w:rFonts w:ascii="Arial" w:hAnsi="Arial" w:cs="Arial"/>
        </w:rPr>
        <w:br/>
        <w:t xml:space="preserve">Końcówki posiadają kolorystyczne oznaczenie - jasnoniebieski. </w:t>
      </w:r>
      <w:r w:rsidRPr="00B037B1">
        <w:rPr>
          <w:rFonts w:ascii="Arial" w:hAnsi="Arial" w:cs="Arial"/>
        </w:rPr>
        <w:br/>
        <w:t xml:space="preserve">Końcówki zapewniają ochronę przed substancjami radioaktywnymi, toksycznymi, aerozolami. </w:t>
      </w:r>
      <w:r w:rsidRPr="00B037B1">
        <w:rPr>
          <w:rFonts w:ascii="Arial" w:hAnsi="Arial" w:cs="Arial"/>
        </w:rPr>
        <w:br/>
        <w:t xml:space="preserve">Posiadają hermetyczny tłoczek. </w:t>
      </w:r>
      <w:r w:rsidRPr="00B037B1">
        <w:rPr>
          <w:rFonts w:ascii="Arial" w:hAnsi="Arial" w:cs="Arial"/>
        </w:rPr>
        <w:br/>
        <w:t xml:space="preserve">Cylinder końcówki wykonany jest  z wysokiej jakości polipropylenu, bez zawartości biocydów, plastyfikatorów i substancji poślizgowych, tłoczek wykonany jest z polietylenu z włóknem szklanym. </w:t>
      </w:r>
      <w:r w:rsidRPr="00B037B1">
        <w:rPr>
          <w:rFonts w:ascii="Arial" w:hAnsi="Arial" w:cs="Arial"/>
        </w:rPr>
        <w:br/>
        <w:t>Każda partia końcówek posiada dostępny certyfikat do pobrania ze strony producenta.</w:t>
      </w:r>
    </w:p>
    <w:p w14:paraId="56C2796A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>Planowana ilość około 48 opakowań po 100 szt.</w:t>
      </w:r>
    </w:p>
    <w:p w14:paraId="7DB8B6D0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</w:p>
    <w:p w14:paraId="324A4B90" w14:textId="77777777" w:rsidR="00B037B1" w:rsidRPr="00B037B1" w:rsidRDefault="00B037B1" w:rsidP="00B037B1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Końcówki działające na zasadzie bezpośredniego wypierania. </w:t>
      </w:r>
    </w:p>
    <w:p w14:paraId="6741B2D8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Końcówki działają w zakresie objętości: 5µl - 500µl. </w:t>
      </w:r>
    </w:p>
    <w:p w14:paraId="5E76F902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Krok dozowania co 0,5µl. </w:t>
      </w:r>
    </w:p>
    <w:p w14:paraId="153BBB30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Czystość końcówek: niesterylne. </w:t>
      </w:r>
    </w:p>
    <w:p w14:paraId="2F88E4C6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Nie zawierają inhibitorów reakcji PCR, ludzkiego DNA, DNAz oraz RNAz. </w:t>
      </w:r>
    </w:p>
    <w:p w14:paraId="31BD4C95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Końcówki posiadają kolorystyczne oznaczenie - fioletowy. </w:t>
      </w:r>
    </w:p>
    <w:p w14:paraId="462FC300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Końcówki zapewniają ochronę przed substancjami radioaktywnymi, toksycznymi, aerozolami. </w:t>
      </w:r>
    </w:p>
    <w:p w14:paraId="3158ACCB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Posiadają hermetyczny tłoczek. </w:t>
      </w:r>
    </w:p>
    <w:p w14:paraId="31E9C0C3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Cylinder końcówki wykonany jest  z wysokiej jakości polipropylenu, bez zawartości biocydów, plastyfikatorów i substancji poślizgowych, tłoczek wykonany jest z polietylenu z włóknem szklanym. </w:t>
      </w:r>
    </w:p>
    <w:p w14:paraId="6F94CA96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>Każda partia końcówek posiada dostępny certyfikat do pobrania ze strony producenta.</w:t>
      </w:r>
    </w:p>
    <w:p w14:paraId="3A2CBCDA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>Planowana ilość 28 opakowań po 100 szt.</w:t>
      </w:r>
    </w:p>
    <w:p w14:paraId="6155C173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</w:p>
    <w:p w14:paraId="31EB32D8" w14:textId="77777777" w:rsidR="00B037B1" w:rsidRPr="00B037B1" w:rsidRDefault="00B037B1" w:rsidP="00B037B1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Końcówki działające na zasadzie bezpośredniego wypierania. </w:t>
      </w:r>
    </w:p>
    <w:p w14:paraId="270A48AF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Końcówki działają w zakresie objętości: 10µl - 1000µl. </w:t>
      </w:r>
    </w:p>
    <w:p w14:paraId="50932E9A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Krok dozowania co 1µl. </w:t>
      </w:r>
    </w:p>
    <w:p w14:paraId="396F994C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Czystość końcówek: niesterylne. </w:t>
      </w:r>
    </w:p>
    <w:p w14:paraId="0958B9CD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Nie zawierają inhibitorów reakcji PCR, ludzkiego DNA, DNAz oraz RNAz. </w:t>
      </w:r>
    </w:p>
    <w:p w14:paraId="2BDCA200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Końcówki posiadają kolorystyczne oznaczenie - żółty. </w:t>
      </w:r>
    </w:p>
    <w:p w14:paraId="4A3F9A23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Końcówki zapewniają ochronę przed substancjami radioaktywnymi, toksycznymi, aerozolami. Posiadają hermetyczny tłoczek. </w:t>
      </w:r>
    </w:p>
    <w:p w14:paraId="05091D24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Cylinder końcówki wykonany jest  z wysokiej jakości polipropylenu, bez zawartości biocydów, plastyfikatorów i substancji poślizgowych, tłoczek wykonany jest z polietylenu z włóknem szklanym. </w:t>
      </w:r>
    </w:p>
    <w:p w14:paraId="49AF9B2F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lastRenderedPageBreak/>
        <w:t>Dla każdej partii końcówek dostępny jest certyfikat do pobrania ze strony producenta.</w:t>
      </w:r>
      <w:r w:rsidRPr="00B037B1">
        <w:rPr>
          <w:rFonts w:ascii="Arial" w:hAnsi="Arial" w:cs="Arial"/>
        </w:rPr>
        <w:br/>
        <w:t>Planowana ilość 18 opakowań po 100 szt.</w:t>
      </w:r>
    </w:p>
    <w:p w14:paraId="70E1413F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</w:p>
    <w:p w14:paraId="0C9112AA" w14:textId="77777777" w:rsidR="00B037B1" w:rsidRPr="00B037B1" w:rsidRDefault="00B037B1" w:rsidP="00B037B1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Końcówki działające na zasadzie bezpośredniego wypierania. </w:t>
      </w:r>
    </w:p>
    <w:p w14:paraId="3485B224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Końcówki działają w zakresie objętości: 50µl - 5000µl. </w:t>
      </w:r>
    </w:p>
    <w:p w14:paraId="080FD344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Krok dozowania co 5µl. </w:t>
      </w:r>
    </w:p>
    <w:p w14:paraId="6228966B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Czystość końcówek: niesterylne. </w:t>
      </w:r>
    </w:p>
    <w:p w14:paraId="4A1F61FC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Nie zawierają inhibitorów reakcji PCR, ludzkiego DNA, DNAz oraz RNAz. </w:t>
      </w:r>
    </w:p>
    <w:p w14:paraId="30FED597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Końcówki posiadają kolorystyczne oznaczenie - niebieski. </w:t>
      </w:r>
    </w:p>
    <w:p w14:paraId="3B54E1EA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Końcówki zapewniają ochronę przed substancjami radioaktywnymi, toksycznymi, aerozolami. </w:t>
      </w:r>
    </w:p>
    <w:p w14:paraId="426BA29A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Posiadają hermetyczny tłoczek. </w:t>
      </w:r>
    </w:p>
    <w:p w14:paraId="3649CA8F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Cylinder końcówki wykonany jest  z wysokiej jakości polipropylenu, bez zawartości biocydów, plastyfikatorów i substancji poślizgowych, tłoczek wykonany jest z polietylenu z włóknem szklanym. </w:t>
      </w:r>
    </w:p>
    <w:p w14:paraId="47EC96E8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>Dla każdej partii końcówek dostępny jest certyfikat do pobrania ze strony producenta.</w:t>
      </w:r>
      <w:r w:rsidRPr="00B037B1">
        <w:rPr>
          <w:rFonts w:ascii="Arial" w:hAnsi="Arial" w:cs="Arial"/>
        </w:rPr>
        <w:br/>
        <w:t>Planowana ilość 18 opakowań po 100 szt.</w:t>
      </w:r>
    </w:p>
    <w:p w14:paraId="5A661CA5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</w:p>
    <w:p w14:paraId="1A65C208" w14:textId="77777777" w:rsidR="00B037B1" w:rsidRPr="00B037B1" w:rsidRDefault="00B037B1" w:rsidP="00B037B1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Końcówki działające na zasadzie bezpośredniego wypierania. </w:t>
      </w:r>
    </w:p>
    <w:p w14:paraId="4CD16973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Końcówki działają w zakresie objętości: 0,1mL - 10mL. </w:t>
      </w:r>
    </w:p>
    <w:p w14:paraId="18C731A1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Krok dozowania co 10µl. </w:t>
      </w:r>
    </w:p>
    <w:p w14:paraId="2CC7A097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Czystość końcówek: niesterylne. </w:t>
      </w:r>
    </w:p>
    <w:p w14:paraId="0168960E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Nie zawierają inhibitorów reakcji PCR, ludzkiego DNA, DNAz oraz RNAz, </w:t>
      </w:r>
    </w:p>
    <w:p w14:paraId="2451385B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Końcówki posiadają kolorystyczne oznaczenie - pomarańczowy. </w:t>
      </w:r>
    </w:p>
    <w:p w14:paraId="5AEBC769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Końcówki zapewniają ochronę przed substancjami radioaktywnymi, toksycznymi, aerozolami. </w:t>
      </w:r>
    </w:p>
    <w:p w14:paraId="224DF002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Posiadają hermetyczny tłoczek. </w:t>
      </w:r>
    </w:p>
    <w:p w14:paraId="22FD4B41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Cylinder końcówki wykonany jest  z wysokiej jakości polipropylenu, bez zawartości biocydów, plastyfikatorów i substancji poślizgowych, tłoczek wykonany jest z polietylenu z włóknem szklanym. </w:t>
      </w:r>
    </w:p>
    <w:p w14:paraId="6A3CBDE0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>Dla każdej partii końcówek dostępny jest certyfikat do pobrania ze strony producenta.</w:t>
      </w:r>
    </w:p>
    <w:p w14:paraId="374D1C3B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>Planowana ilość 18 opakowań po 100 szt.</w:t>
      </w:r>
    </w:p>
    <w:p w14:paraId="2440E5D1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</w:p>
    <w:p w14:paraId="68BD495B" w14:textId="77777777" w:rsidR="00B037B1" w:rsidRPr="00B037B1" w:rsidRDefault="00B037B1" w:rsidP="00B037B1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Końcówki działające na zasadzie bezpośredniego wypierania. </w:t>
      </w:r>
    </w:p>
    <w:p w14:paraId="40B41E5F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Końcówki działają w zakresie objętości: 0,25mL - 25mL. </w:t>
      </w:r>
    </w:p>
    <w:p w14:paraId="58FDF515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Krok dozowania co 25µl. </w:t>
      </w:r>
    </w:p>
    <w:p w14:paraId="21B006EA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Czystość końcówek: niesterylne. </w:t>
      </w:r>
    </w:p>
    <w:p w14:paraId="79060224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Nie zawierają inhibitorów reakcji PCR, ludzkiego DNA, DNAz oraz RNAz. </w:t>
      </w:r>
    </w:p>
    <w:p w14:paraId="768D15B0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Końcówki posiadają kolorystyczne oznaczenie - czerwony. </w:t>
      </w:r>
    </w:p>
    <w:p w14:paraId="1D85EF76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Końcówki zapewniają ochronę przed substancjami radioaktywnymi, toksycznymi, aerozolami. </w:t>
      </w:r>
    </w:p>
    <w:p w14:paraId="36403259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Posiadają hermetyczny tłoczek. </w:t>
      </w:r>
    </w:p>
    <w:p w14:paraId="57D847D0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>Cylinder końcówki wykonany jest  z wysokiej jakości polipropylenu, bez zawartości biocydów, plastyfikatorów i substancji poślizgowych, tłoczek wykonany jest z polietylenu z włóknem szklanym.</w:t>
      </w:r>
    </w:p>
    <w:p w14:paraId="1F47DB58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>Dla każdej partii końcówek dostępny jest certyfikat do pobrania ze strony producenta.</w:t>
      </w:r>
    </w:p>
    <w:p w14:paraId="22B67E36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>Planowana ilość 2 opakowania po 100 szt.</w:t>
      </w:r>
    </w:p>
    <w:p w14:paraId="4E149CC8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</w:p>
    <w:p w14:paraId="07CF8338" w14:textId="77777777" w:rsidR="00B037B1" w:rsidRPr="00B037B1" w:rsidRDefault="00B037B1" w:rsidP="00B037B1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Probówki o obj. 1,5mL, niskowiążące kwasy nukleinowe. </w:t>
      </w:r>
    </w:p>
    <w:p w14:paraId="3EE9B7A9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Nie zawierają inhibitorów reakcji PCR, ludzkiego DNA, DNAz oraz RNAz. </w:t>
      </w:r>
      <w:r w:rsidRPr="00B037B1">
        <w:rPr>
          <w:rFonts w:ascii="Arial" w:hAnsi="Arial" w:cs="Arial"/>
        </w:rPr>
        <w:br/>
        <w:t xml:space="preserve">Niesterylne. </w:t>
      </w:r>
      <w:r w:rsidRPr="00B037B1">
        <w:rPr>
          <w:rFonts w:ascii="Arial" w:hAnsi="Arial" w:cs="Arial"/>
        </w:rPr>
        <w:br/>
      </w:r>
      <w:r w:rsidRPr="00B037B1">
        <w:rPr>
          <w:rFonts w:ascii="Arial" w:hAnsi="Arial" w:cs="Arial"/>
        </w:rPr>
        <w:lastRenderedPageBreak/>
        <w:t xml:space="preserve">Powierzchnia probówki pokryta silikonem. </w:t>
      </w:r>
      <w:r w:rsidRPr="00B037B1">
        <w:rPr>
          <w:rFonts w:ascii="Arial" w:hAnsi="Arial" w:cs="Arial"/>
        </w:rPr>
        <w:br/>
        <w:t xml:space="preserve">Znacznik objętości widoczne na probówce: 0,5; 1,0; 1,5 mL. </w:t>
      </w:r>
      <w:r w:rsidRPr="00B037B1">
        <w:rPr>
          <w:rFonts w:ascii="Arial" w:hAnsi="Arial" w:cs="Arial"/>
        </w:rPr>
        <w:br/>
        <w:t xml:space="preserve">Matowa powierzchnia na korku i po stronie zewnętrznej probówki do opisywania próbek. Korek zapobiegajcy niepożądanemu otworzeniu się probówki i zanieczyszczeniu próbki podczas otwierania. </w:t>
      </w:r>
      <w:r w:rsidRPr="00B037B1">
        <w:rPr>
          <w:rFonts w:ascii="Arial" w:hAnsi="Arial" w:cs="Arial"/>
        </w:rPr>
        <w:br/>
        <w:t xml:space="preserve">Duża wytrzymałość na chemikalia. </w:t>
      </w:r>
      <w:r w:rsidRPr="00B037B1">
        <w:rPr>
          <w:rFonts w:ascii="Arial" w:hAnsi="Arial" w:cs="Arial"/>
        </w:rPr>
        <w:br/>
        <w:t xml:space="preserve">Wytrzymałośc na wirowania do 30 000 x g. Wytrzymałość na temperarury w zakresie od -86°C do +121°C. </w:t>
      </w:r>
      <w:r w:rsidRPr="00B037B1">
        <w:rPr>
          <w:rFonts w:ascii="Arial" w:hAnsi="Arial" w:cs="Arial"/>
        </w:rPr>
        <w:br/>
        <w:t xml:space="preserve">Możliwośc autoklawowania w 121 °C przez 20min. </w:t>
      </w:r>
      <w:r w:rsidRPr="00B037B1">
        <w:rPr>
          <w:rFonts w:ascii="Arial" w:hAnsi="Arial" w:cs="Arial"/>
        </w:rPr>
        <w:br/>
        <w:t>Dla każdej partii końcówek dostepny jest certyfikat do pobrania ze strony producenta.</w:t>
      </w:r>
    </w:p>
    <w:p w14:paraId="2737B0B4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>Planowana ilość 48 opakowań po 250 szt.</w:t>
      </w:r>
    </w:p>
    <w:p w14:paraId="1E82A8DB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</w:p>
    <w:p w14:paraId="1594ADA2" w14:textId="77777777" w:rsidR="00B037B1" w:rsidRPr="00B037B1" w:rsidRDefault="00B037B1" w:rsidP="00B037B1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Probówki o obj. 1,5mL, niskowiążącebiałka, peptydy przeciwciała i wirusy. </w:t>
      </w:r>
    </w:p>
    <w:p w14:paraId="03D5CBB0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Nie zawierają inhibitorów reakcji PCR, ludzkiego DNA, DNAz oraz RNAz. </w:t>
      </w:r>
    </w:p>
    <w:p w14:paraId="3BF3DC61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Niesterylne. </w:t>
      </w:r>
    </w:p>
    <w:p w14:paraId="155A4CFB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Wykonane z kompozytu o hydrofilowej, niepowlekanej powierzchni ograniczającej denaturację próbki w przypadku kontaktu próbki ze ścianką probówki. </w:t>
      </w:r>
    </w:p>
    <w:p w14:paraId="4448078F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Znacznik objętości widoczne na probówce: 0,5; 1,0; 1,5 mL. </w:t>
      </w:r>
    </w:p>
    <w:p w14:paraId="1A56D2A4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Matowa powierzchnia na korku i po stronie zewnętrznej probówki do opisywania próbek. Korek zapobiegający niepożądanemu otworzeniu się probówki i zanieczyszczeniu próbki podczas otwierania. </w:t>
      </w:r>
    </w:p>
    <w:p w14:paraId="0FDBA151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Duża wytrzymałość na chemikalia. </w:t>
      </w:r>
    </w:p>
    <w:p w14:paraId="77C85BB1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Wytrzymałość na wirowania do 18 000 x g. </w:t>
      </w:r>
    </w:p>
    <w:p w14:paraId="5C728923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Wytrzymałość na temperatury w zakresie od -86°C do +121°C. </w:t>
      </w:r>
    </w:p>
    <w:p w14:paraId="3103FD06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Możliwość autoklawowania w 121 °C przez 20min. </w:t>
      </w:r>
    </w:p>
    <w:p w14:paraId="010EABF2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>Dla każdej partii końcówek dostępny jest certyfikat do pobrania ze strony producenta.</w:t>
      </w:r>
    </w:p>
    <w:p w14:paraId="2AE71172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>Planowana ilość 20 opakowań po 100 szt.</w:t>
      </w:r>
    </w:p>
    <w:p w14:paraId="7D951489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</w:p>
    <w:p w14:paraId="5B41B41B" w14:textId="77777777" w:rsidR="00B037B1" w:rsidRPr="00B037B1" w:rsidRDefault="00B037B1" w:rsidP="00B037B1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Pipeta elektroniczna jednokanałowa zmiennopojemnościowa. </w:t>
      </w:r>
    </w:p>
    <w:p w14:paraId="02A75A70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Pipeta działa od 0,5μl do 10μl. </w:t>
      </w:r>
    </w:p>
    <w:p w14:paraId="69451A01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Posiada osoby przycisk do zrzucania końcówek. </w:t>
      </w:r>
    </w:p>
    <w:p w14:paraId="1B0395B9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Elektroniczne ustawianie objętości. </w:t>
      </w:r>
    </w:p>
    <w:p w14:paraId="7393A043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Oddzielne gniazdo ładowania umożliwiające prace w trakcie ładowania pipety. Wyposażona w styki umożliwiające ładowanie na statywie ładującym. </w:t>
      </w:r>
    </w:p>
    <w:p w14:paraId="0178242D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Stożkowe sprężynujące zakończenie pipety umożliwiające precyzyjne nałożenie końcówki. </w:t>
      </w:r>
    </w:p>
    <w:p w14:paraId="7910934F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Barwny kod na przycisku pipety - szary. uruchomienie stanu uśpienia po 5 min nieużywania pipety. </w:t>
      </w:r>
    </w:p>
    <w:p w14:paraId="0BF02A0D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Wybór funkcji za pomocą pokrętła. dostępne funkcje: automatyczne dozowanie, dozowanie, pipetowanie, pipetowanie z mieszaniem i pipetowanie ręczne. </w:t>
      </w:r>
    </w:p>
    <w:p w14:paraId="1789E667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Możliwość ustawienia 8 poziomów prędkości. </w:t>
      </w:r>
    </w:p>
    <w:p w14:paraId="2058C14E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Możliwość adjustacji pipety pod kątem cieczy o różnych gęstościach. </w:t>
      </w:r>
    </w:p>
    <w:p w14:paraId="07FC968B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Możliwość sterylizacji w autoklawie dolnej części pipety (121 °C przez 20min). </w:t>
      </w:r>
    </w:p>
    <w:p w14:paraId="002817BC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Wybór 9 języków. </w:t>
      </w:r>
    </w:p>
    <w:p w14:paraId="1D23347B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Waga pipety z akumulatorem maks.- 160g. </w:t>
      </w:r>
    </w:p>
    <w:p w14:paraId="6AA11A77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Pipeta posiada certyfikat CE, dołączony do oferty. </w:t>
      </w:r>
    </w:p>
    <w:p w14:paraId="41812FE8" w14:textId="49A6C9EB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Gwarancja: </w:t>
      </w:r>
      <w:r>
        <w:rPr>
          <w:rFonts w:ascii="Arial" w:hAnsi="Arial" w:cs="Arial"/>
        </w:rPr>
        <w:t xml:space="preserve">minimum </w:t>
      </w:r>
      <w:r w:rsidRPr="00B037B1">
        <w:rPr>
          <w:rFonts w:ascii="Arial" w:hAnsi="Arial" w:cs="Arial"/>
        </w:rPr>
        <w:t xml:space="preserve">24 miesiące. </w:t>
      </w:r>
    </w:p>
    <w:p w14:paraId="1417A79B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W zestawie ładowarka. </w:t>
      </w:r>
    </w:p>
    <w:p w14:paraId="6A85B45B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>Dokładność pipetowania +/-:</w:t>
      </w:r>
    </w:p>
    <w:p w14:paraId="2664F91A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>• max błąd systematyczny dla objętości 1 μL 2,5%=0,025 μL, max błąd przypadkowy 1,8%=0,018 μL,</w:t>
      </w:r>
    </w:p>
    <w:p w14:paraId="0AB51F75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lastRenderedPageBreak/>
        <w:t>• max błąd systematyczny dla objętości 5 μL 1,5%=0,075 μL, max błąd przypadkowy 0,8%=0,04 μL,</w:t>
      </w:r>
    </w:p>
    <w:p w14:paraId="61848A24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>•max błąd systematyczny dla objętości 10 μL 1%=0,1 μL, max błąd przypadkowy 0,4%=0,04 μLMm</w:t>
      </w:r>
    </w:p>
    <w:p w14:paraId="34B48196" w14:textId="77777777" w:rsid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>Planowana ilość 1 szt.</w:t>
      </w:r>
    </w:p>
    <w:p w14:paraId="40A2A392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</w:p>
    <w:p w14:paraId="0BDC30A9" w14:textId="77777777" w:rsidR="00B037B1" w:rsidRPr="00B037B1" w:rsidRDefault="00B037B1" w:rsidP="00B037B1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Dozownik elektroniczny jednokanałowy zmiennopojemnościowa. </w:t>
      </w:r>
    </w:p>
    <w:p w14:paraId="19437CB8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Dozownik działa od 1μl do 50mL. </w:t>
      </w:r>
    </w:p>
    <w:p w14:paraId="4D145098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Możliwość przeprowadzenia do 100 kroków dozowania bez konieczności pobierania cieczy. </w:t>
      </w:r>
    </w:p>
    <w:p w14:paraId="1F64C870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Posiada osoby przycisk do zrzucania końcówek. </w:t>
      </w:r>
    </w:p>
    <w:p w14:paraId="786A35C5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Automatyczne wykrywanie końcówki z informacją na wyświetlaczu o jej objętości. Elektroniczne ustawianie objętości. </w:t>
      </w:r>
    </w:p>
    <w:p w14:paraId="1D9DB28A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Oddzielne gniazdo ładowania umożliwiające prace w trakcie ładowania pipety. Wyposażona w styki umożliwiające ładowanie na statywie ładującym. </w:t>
      </w:r>
    </w:p>
    <w:p w14:paraId="45D7283B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Wybór funkcji za pomocą pokrętła. </w:t>
      </w:r>
    </w:p>
    <w:p w14:paraId="6A2F3FF0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Dostępne funkcje: automatyczne dozowanie, dozowanie, pipetowanie. </w:t>
      </w:r>
    </w:p>
    <w:p w14:paraId="31B4D898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Możliwość ustawienia 8 poziomów prędkości.  </w:t>
      </w:r>
    </w:p>
    <w:p w14:paraId="01E6031C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Wybór 9 języków. </w:t>
      </w:r>
    </w:p>
    <w:p w14:paraId="7011EC03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Waga pipety z akumulatorem maks. - 190g. </w:t>
      </w:r>
    </w:p>
    <w:p w14:paraId="7A981AB0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 xml:space="preserve">Pipeta posiada certyfikat CE, dołączony do oferty.  </w:t>
      </w:r>
    </w:p>
    <w:p w14:paraId="3844BC90" w14:textId="611E76A1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>Gwarancja:</w:t>
      </w:r>
      <w:r>
        <w:rPr>
          <w:rFonts w:ascii="Arial" w:hAnsi="Arial" w:cs="Arial"/>
        </w:rPr>
        <w:t xml:space="preserve"> minimum</w:t>
      </w:r>
      <w:r w:rsidRPr="00B037B1">
        <w:rPr>
          <w:rFonts w:ascii="Arial" w:hAnsi="Arial" w:cs="Arial"/>
        </w:rPr>
        <w:t xml:space="preserve"> 24 miesiące. W zestawie ładowarka.  </w:t>
      </w:r>
    </w:p>
    <w:p w14:paraId="4002A612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>Wbudowany chip RFID.</w:t>
      </w:r>
    </w:p>
    <w:p w14:paraId="40A9DE80" w14:textId="77777777" w:rsidR="00B037B1" w:rsidRPr="00B037B1" w:rsidRDefault="00B037B1" w:rsidP="00B037B1">
      <w:pPr>
        <w:pStyle w:val="Akapitzlist"/>
        <w:rPr>
          <w:rFonts w:ascii="Arial" w:hAnsi="Arial" w:cs="Arial"/>
        </w:rPr>
      </w:pPr>
      <w:r w:rsidRPr="00B037B1">
        <w:rPr>
          <w:rFonts w:ascii="Arial" w:hAnsi="Arial" w:cs="Arial"/>
        </w:rPr>
        <w:t>Planowana ilość 2 szt.</w:t>
      </w:r>
    </w:p>
    <w:p w14:paraId="4FC9A5CC" w14:textId="77777777" w:rsidR="00B037B1" w:rsidRDefault="00B037B1" w:rsidP="00B037B1">
      <w:pPr>
        <w:pStyle w:val="Akapitzlist"/>
      </w:pPr>
    </w:p>
    <w:p w14:paraId="160CA6D9" w14:textId="77777777" w:rsidR="00E63F9D" w:rsidRPr="006D6FAF" w:rsidRDefault="00E63F9D" w:rsidP="00E63F9D">
      <w:pPr>
        <w:pStyle w:val="Akapitzlist"/>
        <w:rPr>
          <w:rFonts w:ascii="Arial" w:hAnsi="Arial" w:cs="Arial"/>
        </w:rPr>
      </w:pPr>
    </w:p>
    <w:p w14:paraId="675A20A3" w14:textId="77777777" w:rsidR="009A20CD" w:rsidRPr="006D6FAF" w:rsidRDefault="009A20CD" w:rsidP="00E63F9D">
      <w:pPr>
        <w:pStyle w:val="Akapitzlist"/>
        <w:rPr>
          <w:rFonts w:ascii="Arial" w:hAnsi="Arial" w:cs="Arial"/>
        </w:rPr>
      </w:pPr>
    </w:p>
    <w:p w14:paraId="5617709A" w14:textId="660F2087" w:rsidR="00C003FA" w:rsidRPr="006D6FAF" w:rsidRDefault="007A313A" w:rsidP="00CC5C0F">
      <w:pPr>
        <w:rPr>
          <w:rFonts w:ascii="Arial" w:hAnsi="Arial" w:cs="Arial"/>
        </w:rPr>
      </w:pPr>
      <w:r w:rsidRPr="006D6FAF">
        <w:rPr>
          <w:rFonts w:ascii="Arial" w:hAnsi="Arial" w:cs="Arial"/>
        </w:rPr>
        <w:br/>
      </w:r>
    </w:p>
    <w:sectPr w:rsidR="00C003FA" w:rsidRPr="006D6FA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79313" w14:textId="77777777" w:rsidR="00D305AD" w:rsidRDefault="00D305AD" w:rsidP="001D6403">
      <w:pPr>
        <w:spacing w:after="0" w:line="240" w:lineRule="auto"/>
      </w:pPr>
      <w:r>
        <w:separator/>
      </w:r>
    </w:p>
  </w:endnote>
  <w:endnote w:type="continuationSeparator" w:id="0">
    <w:p w14:paraId="16A8194A" w14:textId="77777777" w:rsidR="00D305AD" w:rsidRDefault="00D305AD" w:rsidP="001D6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B18A0" w14:textId="77777777" w:rsidR="00D305AD" w:rsidRDefault="00D305AD" w:rsidP="001D6403">
      <w:pPr>
        <w:spacing w:after="0" w:line="240" w:lineRule="auto"/>
      </w:pPr>
      <w:r>
        <w:separator/>
      </w:r>
    </w:p>
  </w:footnote>
  <w:footnote w:type="continuationSeparator" w:id="0">
    <w:p w14:paraId="01F61214" w14:textId="77777777" w:rsidR="00D305AD" w:rsidRDefault="00D305AD" w:rsidP="001D6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571BA" w14:textId="06B8353F" w:rsidR="006D6FAF" w:rsidRPr="006D6FAF" w:rsidRDefault="006D6FAF">
    <w:pPr>
      <w:pStyle w:val="Nagwek"/>
      <w:rPr>
        <w:rFonts w:ascii="Arial" w:hAnsi="Arial" w:cs="Arial"/>
        <w:sz w:val="20"/>
        <w:szCs w:val="20"/>
      </w:rPr>
    </w:pPr>
    <w:r w:rsidRPr="006D6FAF">
      <w:rPr>
        <w:rFonts w:ascii="Arial" w:hAnsi="Arial" w:cs="Arial"/>
        <w:sz w:val="20"/>
        <w:szCs w:val="20"/>
      </w:rPr>
      <w:t>ZP3/</w:t>
    </w:r>
    <w:r w:rsidR="00B037B1">
      <w:rPr>
        <w:rFonts w:ascii="Arial" w:hAnsi="Arial" w:cs="Arial"/>
        <w:sz w:val="20"/>
        <w:szCs w:val="20"/>
      </w:rPr>
      <w:t>9431</w:t>
    </w:r>
    <w:r w:rsidRPr="006D6FAF">
      <w:rPr>
        <w:rFonts w:ascii="Arial" w:hAnsi="Arial" w:cs="Arial"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E788D"/>
    <w:multiLevelType w:val="hybridMultilevel"/>
    <w:tmpl w:val="28442FE2"/>
    <w:lvl w:ilvl="0" w:tplc="57D607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91202"/>
    <w:multiLevelType w:val="hybridMultilevel"/>
    <w:tmpl w:val="02A4A1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654366"/>
    <w:multiLevelType w:val="hybridMultilevel"/>
    <w:tmpl w:val="DF8E0250"/>
    <w:lvl w:ilvl="0" w:tplc="203AD2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301C5D"/>
    <w:multiLevelType w:val="hybridMultilevel"/>
    <w:tmpl w:val="D59098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B33F70"/>
    <w:multiLevelType w:val="hybridMultilevel"/>
    <w:tmpl w:val="76B229B6"/>
    <w:lvl w:ilvl="0" w:tplc="AD0E60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0130210">
    <w:abstractNumId w:val="4"/>
  </w:num>
  <w:num w:numId="2" w16cid:durableId="1876887073">
    <w:abstractNumId w:val="0"/>
  </w:num>
  <w:num w:numId="3" w16cid:durableId="299381785">
    <w:abstractNumId w:val="3"/>
  </w:num>
  <w:num w:numId="4" w16cid:durableId="515929457">
    <w:abstractNumId w:val="1"/>
  </w:num>
  <w:num w:numId="5" w16cid:durableId="19744064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403"/>
    <w:rsid w:val="00037151"/>
    <w:rsid w:val="00047318"/>
    <w:rsid w:val="00084AED"/>
    <w:rsid w:val="000B11D0"/>
    <w:rsid w:val="000B1A09"/>
    <w:rsid w:val="000B578B"/>
    <w:rsid w:val="000C500A"/>
    <w:rsid w:val="000C554B"/>
    <w:rsid w:val="000C5F37"/>
    <w:rsid w:val="000E3140"/>
    <w:rsid w:val="000E7823"/>
    <w:rsid w:val="001238E5"/>
    <w:rsid w:val="0018005B"/>
    <w:rsid w:val="001B210B"/>
    <w:rsid w:val="001D58E9"/>
    <w:rsid w:val="001D6403"/>
    <w:rsid w:val="00211ECC"/>
    <w:rsid w:val="002322CE"/>
    <w:rsid w:val="00294143"/>
    <w:rsid w:val="002A3BE2"/>
    <w:rsid w:val="002C43CC"/>
    <w:rsid w:val="002C658B"/>
    <w:rsid w:val="002F2B68"/>
    <w:rsid w:val="002F3288"/>
    <w:rsid w:val="003017E5"/>
    <w:rsid w:val="00304C5F"/>
    <w:rsid w:val="003175BD"/>
    <w:rsid w:val="00366811"/>
    <w:rsid w:val="003A0F34"/>
    <w:rsid w:val="003B50BD"/>
    <w:rsid w:val="003B5E91"/>
    <w:rsid w:val="00420F48"/>
    <w:rsid w:val="0042251A"/>
    <w:rsid w:val="00454778"/>
    <w:rsid w:val="0047175B"/>
    <w:rsid w:val="0047225E"/>
    <w:rsid w:val="004801EB"/>
    <w:rsid w:val="00483BF9"/>
    <w:rsid w:val="004A45BF"/>
    <w:rsid w:val="004C61E3"/>
    <w:rsid w:val="004D06DA"/>
    <w:rsid w:val="004D1E23"/>
    <w:rsid w:val="004E4927"/>
    <w:rsid w:val="004E7E62"/>
    <w:rsid w:val="0052271C"/>
    <w:rsid w:val="0053220E"/>
    <w:rsid w:val="005335C6"/>
    <w:rsid w:val="00544761"/>
    <w:rsid w:val="0055724A"/>
    <w:rsid w:val="005647B6"/>
    <w:rsid w:val="005B2776"/>
    <w:rsid w:val="005D6F60"/>
    <w:rsid w:val="005E6773"/>
    <w:rsid w:val="0063594F"/>
    <w:rsid w:val="00654E4C"/>
    <w:rsid w:val="00656410"/>
    <w:rsid w:val="00665B51"/>
    <w:rsid w:val="00682690"/>
    <w:rsid w:val="00691C27"/>
    <w:rsid w:val="00693604"/>
    <w:rsid w:val="00694026"/>
    <w:rsid w:val="00694550"/>
    <w:rsid w:val="006A57C3"/>
    <w:rsid w:val="006D6FAF"/>
    <w:rsid w:val="006E7E68"/>
    <w:rsid w:val="007130FD"/>
    <w:rsid w:val="00790FBC"/>
    <w:rsid w:val="007A313A"/>
    <w:rsid w:val="007A3489"/>
    <w:rsid w:val="007B5B18"/>
    <w:rsid w:val="007D762E"/>
    <w:rsid w:val="0080674E"/>
    <w:rsid w:val="00836C77"/>
    <w:rsid w:val="00853F09"/>
    <w:rsid w:val="00860261"/>
    <w:rsid w:val="00862CAC"/>
    <w:rsid w:val="008703E9"/>
    <w:rsid w:val="008901C2"/>
    <w:rsid w:val="008916A8"/>
    <w:rsid w:val="0089382D"/>
    <w:rsid w:val="008A5B5B"/>
    <w:rsid w:val="008B5299"/>
    <w:rsid w:val="008D3148"/>
    <w:rsid w:val="008D6E0E"/>
    <w:rsid w:val="0092725D"/>
    <w:rsid w:val="00932D2F"/>
    <w:rsid w:val="0096759F"/>
    <w:rsid w:val="009722C2"/>
    <w:rsid w:val="00993B6B"/>
    <w:rsid w:val="009A0DA6"/>
    <w:rsid w:val="009A20CD"/>
    <w:rsid w:val="009B3E39"/>
    <w:rsid w:val="009E4962"/>
    <w:rsid w:val="00A05364"/>
    <w:rsid w:val="00A073DD"/>
    <w:rsid w:val="00A44379"/>
    <w:rsid w:val="00A6664C"/>
    <w:rsid w:val="00A82060"/>
    <w:rsid w:val="00A90168"/>
    <w:rsid w:val="00AB001A"/>
    <w:rsid w:val="00AD5025"/>
    <w:rsid w:val="00B008B6"/>
    <w:rsid w:val="00B037B1"/>
    <w:rsid w:val="00B1329C"/>
    <w:rsid w:val="00B44221"/>
    <w:rsid w:val="00B50FBC"/>
    <w:rsid w:val="00B63F7A"/>
    <w:rsid w:val="00B8621A"/>
    <w:rsid w:val="00B9657B"/>
    <w:rsid w:val="00BB24B3"/>
    <w:rsid w:val="00BC56E7"/>
    <w:rsid w:val="00C003FA"/>
    <w:rsid w:val="00C06F0B"/>
    <w:rsid w:val="00C44221"/>
    <w:rsid w:val="00C92511"/>
    <w:rsid w:val="00CB4281"/>
    <w:rsid w:val="00CC5C0F"/>
    <w:rsid w:val="00CD37D2"/>
    <w:rsid w:val="00D305AD"/>
    <w:rsid w:val="00D3273F"/>
    <w:rsid w:val="00D33510"/>
    <w:rsid w:val="00D36809"/>
    <w:rsid w:val="00D44ACD"/>
    <w:rsid w:val="00D732EE"/>
    <w:rsid w:val="00D8129F"/>
    <w:rsid w:val="00DA4855"/>
    <w:rsid w:val="00DC3E35"/>
    <w:rsid w:val="00DD1F4B"/>
    <w:rsid w:val="00E333C1"/>
    <w:rsid w:val="00E43164"/>
    <w:rsid w:val="00E63F9D"/>
    <w:rsid w:val="00E77129"/>
    <w:rsid w:val="00E84851"/>
    <w:rsid w:val="00E86B52"/>
    <w:rsid w:val="00E93912"/>
    <w:rsid w:val="00EA6A72"/>
    <w:rsid w:val="00EB024C"/>
    <w:rsid w:val="00EB7C57"/>
    <w:rsid w:val="00F16A63"/>
    <w:rsid w:val="00F37D0E"/>
    <w:rsid w:val="00FA4D94"/>
    <w:rsid w:val="00FC6897"/>
    <w:rsid w:val="00FE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B16CD"/>
  <w15:chartTrackingRefBased/>
  <w15:docId w15:val="{485BFC36-1FFB-4C66-B016-80144EC44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D64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4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64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D64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D64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D64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D64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D64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D64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D64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4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64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D640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D640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D64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D64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D64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D640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D64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D64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D64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D64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D64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D640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D640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D640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D64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D640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D6403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640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640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D6403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9382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9382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9382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38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238E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38E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38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38E5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D6F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6FAF"/>
  </w:style>
  <w:style w:type="paragraph" w:styleId="Stopka">
    <w:name w:val="footer"/>
    <w:basedOn w:val="Normalny"/>
    <w:link w:val="StopkaZnak"/>
    <w:uiPriority w:val="99"/>
    <w:unhideWhenUsed/>
    <w:rsid w:val="006D6F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6F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1198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Kanonik-Jędrzejak</dc:creator>
  <cp:keywords/>
  <dc:description/>
  <cp:lastModifiedBy>Aleksandra Korcz</cp:lastModifiedBy>
  <cp:revision>6</cp:revision>
  <cp:lastPrinted>2026-08-26T07:58:00Z</cp:lastPrinted>
  <dcterms:created xsi:type="dcterms:W3CDTF">2026-08-26T06:30:00Z</dcterms:created>
  <dcterms:modified xsi:type="dcterms:W3CDTF">2026-10-12T11:12:00Z</dcterms:modified>
</cp:coreProperties>
</file>