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A5F528" w14:textId="7F39AFD0" w:rsidR="00D55350" w:rsidRPr="003310C2" w:rsidRDefault="00E37320" w:rsidP="00E37320">
      <w:pPr>
        <w:ind w:left="2880"/>
        <w:jc w:val="right"/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</w:pPr>
      <w:r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 xml:space="preserve">                                                          </w:t>
      </w:r>
      <w:bookmarkStart w:id="0" w:name="_GoBack"/>
      <w:bookmarkEnd w:id="0"/>
      <w:r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 xml:space="preserve">        Załącznik nr 6</w:t>
      </w:r>
      <w:r w:rsidR="00B663A5" w:rsidRPr="003310C2"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ab/>
      </w:r>
      <w:r w:rsidR="00B663A5" w:rsidRPr="003310C2"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ab/>
      </w:r>
      <w:r w:rsidR="00B663A5" w:rsidRPr="003310C2">
        <w:rPr>
          <w:rFonts w:asciiTheme="minorHAnsi" w:hAnsiTheme="minorHAnsi" w:cstheme="minorHAnsi"/>
          <w:iCs/>
          <w:color w:val="000000"/>
          <w:sz w:val="24"/>
          <w:szCs w:val="24"/>
          <w:lang w:val="pl-PL" w:eastAsia="pl-PL"/>
        </w:rPr>
        <w:tab/>
      </w:r>
    </w:p>
    <w:p w14:paraId="2A3514D8" w14:textId="77777777" w:rsidR="003358ED" w:rsidRPr="003310C2" w:rsidRDefault="003358ED" w:rsidP="00A67064">
      <w:pPr>
        <w:spacing w:line="360" w:lineRule="auto"/>
        <w:ind w:left="426"/>
        <w:jc w:val="center"/>
        <w:rPr>
          <w:rFonts w:asciiTheme="minorHAnsi" w:hAnsiTheme="minorHAnsi" w:cstheme="minorHAnsi"/>
          <w:b/>
          <w:iCs/>
          <w:color w:val="000000"/>
          <w:lang w:val="pl-PL" w:eastAsia="pl-PL"/>
        </w:rPr>
      </w:pPr>
    </w:p>
    <w:tbl>
      <w:tblPr>
        <w:tblStyle w:val="Tabela-Siatka"/>
        <w:tblW w:w="14708" w:type="dxa"/>
        <w:tblInd w:w="846" w:type="dxa"/>
        <w:tblLook w:val="04A0" w:firstRow="1" w:lastRow="0" w:firstColumn="1" w:lastColumn="0" w:noHBand="0" w:noVBand="1"/>
      </w:tblPr>
      <w:tblGrid>
        <w:gridCol w:w="553"/>
        <w:gridCol w:w="2236"/>
        <w:gridCol w:w="1247"/>
        <w:gridCol w:w="5408"/>
        <w:gridCol w:w="5264"/>
      </w:tblGrid>
      <w:tr w:rsidR="003310C2" w:rsidRPr="003310C2" w14:paraId="451C66E5" w14:textId="7296B0D4" w:rsidTr="00E37320">
        <w:tc>
          <w:tcPr>
            <w:tcW w:w="553" w:type="dxa"/>
          </w:tcPr>
          <w:p w14:paraId="516D624F" w14:textId="68B43513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Lp</w:t>
            </w:r>
            <w:r w:rsidR="00BA7F67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.</w:t>
            </w:r>
          </w:p>
        </w:tc>
        <w:tc>
          <w:tcPr>
            <w:tcW w:w="2236" w:type="dxa"/>
          </w:tcPr>
          <w:p w14:paraId="6C61413F" w14:textId="7CC87532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Urządzenia</w:t>
            </w:r>
          </w:p>
        </w:tc>
        <w:tc>
          <w:tcPr>
            <w:tcW w:w="1247" w:type="dxa"/>
          </w:tcPr>
          <w:p w14:paraId="6A10F1D7" w14:textId="7777777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ilość</w:t>
            </w:r>
          </w:p>
        </w:tc>
        <w:tc>
          <w:tcPr>
            <w:tcW w:w="5408" w:type="dxa"/>
          </w:tcPr>
          <w:p w14:paraId="271AAAEF" w14:textId="2E1BADEC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Wymagane parametry urządzenia</w:t>
            </w:r>
          </w:p>
        </w:tc>
        <w:tc>
          <w:tcPr>
            <w:tcW w:w="5264" w:type="dxa"/>
          </w:tcPr>
          <w:p w14:paraId="1A0A9C6B" w14:textId="73EF4395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Opis oferowanego urządzenia przez Wykonawcę</w:t>
            </w:r>
          </w:p>
        </w:tc>
      </w:tr>
      <w:tr w:rsidR="003310C2" w:rsidRPr="003310C2" w14:paraId="1A75963A" w14:textId="6F72D293" w:rsidTr="00E37320">
        <w:tc>
          <w:tcPr>
            <w:tcW w:w="553" w:type="dxa"/>
            <w:vAlign w:val="center"/>
          </w:tcPr>
          <w:p w14:paraId="34290F8F" w14:textId="3D2A00F6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1</w:t>
            </w:r>
          </w:p>
        </w:tc>
        <w:tc>
          <w:tcPr>
            <w:tcW w:w="2236" w:type="dxa"/>
            <w:vAlign w:val="center"/>
          </w:tcPr>
          <w:p w14:paraId="008A3F4E" w14:textId="4B74B38D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  <w:t>Centralny serwer rejestrujący</w:t>
            </w:r>
          </w:p>
        </w:tc>
        <w:tc>
          <w:tcPr>
            <w:tcW w:w="1247" w:type="dxa"/>
            <w:vAlign w:val="center"/>
          </w:tcPr>
          <w:p w14:paraId="52AB3248" w14:textId="4348B7D0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 xml:space="preserve">1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kpl</w:t>
            </w:r>
            <w:proofErr w:type="spellEnd"/>
          </w:p>
        </w:tc>
        <w:tc>
          <w:tcPr>
            <w:tcW w:w="5408" w:type="dxa"/>
            <w:vAlign w:val="center"/>
          </w:tcPr>
          <w:p w14:paraId="6E290D63" w14:textId="222534A4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Urządzenie przeznaczone do pracy ciągłej jako serwer monitoringu i rejestrator kamer IP. Minimalne wymagania: wykonanie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rack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19’’, min 2 zatoki SATA przeznaczone dla dysków HDD/SDD, pamięć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operacyjna typu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ECC, min 4 rdzeniowa platforma 64-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bit,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min 2 porty Gigabit Ethernet. Możliwość sprzętowej i programowej obsługi co najmniej 24 kamer IP, obsługa H.264 i H.265, obsługa kamer o rozdzielczości 4K, centralne zarządzanie kamerami, rejestracją, użytkownikami, uprawnieniami, podglądem, archiwum, AI: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perymetryka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/detekcja oraz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rozpoznawanie twarzy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>. Możliwość późniejszej rozbudowy pojemności pamięci masowej bez wymiany centralnego serwera.</w:t>
            </w:r>
          </w:p>
          <w:p w14:paraId="16E7DA38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Pamięć masowa – o pojemności min 16 TB przeznaczona do ciągłej pracy w systemie monitoringu. Zastosowane nośniki powinny pracować w systemie SATA, min 6 Gb/s.</w:t>
            </w:r>
          </w:p>
          <w:p w14:paraId="199594AE" w14:textId="0664FF5F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Serwer ma być wyposażony w zasilanie awaryjne min. UPS600.</w:t>
            </w:r>
          </w:p>
        </w:tc>
        <w:tc>
          <w:tcPr>
            <w:tcW w:w="5264" w:type="dxa"/>
          </w:tcPr>
          <w:p w14:paraId="23055248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2C0B7CE2" w14:textId="5178BD74" w:rsidTr="00E37320">
        <w:tc>
          <w:tcPr>
            <w:tcW w:w="553" w:type="dxa"/>
            <w:vAlign w:val="center"/>
          </w:tcPr>
          <w:p w14:paraId="66279DE8" w14:textId="6645159B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2</w:t>
            </w:r>
          </w:p>
        </w:tc>
        <w:tc>
          <w:tcPr>
            <w:tcW w:w="2236" w:type="dxa"/>
            <w:vAlign w:val="center"/>
          </w:tcPr>
          <w:p w14:paraId="18E1A939" w14:textId="7396A6D2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  <w:t>Infrastruktura sieciowa</w:t>
            </w:r>
          </w:p>
        </w:tc>
        <w:tc>
          <w:tcPr>
            <w:tcW w:w="1247" w:type="dxa"/>
            <w:vAlign w:val="center"/>
          </w:tcPr>
          <w:p w14:paraId="24259E51" w14:textId="1C7E0FD9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 xml:space="preserve">1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kpl</w:t>
            </w:r>
            <w:proofErr w:type="spellEnd"/>
          </w:p>
        </w:tc>
        <w:tc>
          <w:tcPr>
            <w:tcW w:w="5408" w:type="dxa"/>
            <w:vAlign w:val="center"/>
          </w:tcPr>
          <w:p w14:paraId="52373C27" w14:textId="2947DF14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System należy oprzeć na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zarządzalnych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switchach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Ethernet warstwy L2 (w ilości min 3 sztuki). Wymagane są urządzenia wyposażone w porty Gigabit Ethernet z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PoE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, porty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uplink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Gigabit Ethernet i/lub SFP, funkcje zarządzania warstwy L2, możliwość logicznej separacji ruchu CCTV, możliwość monitorowania poszczególnych portów i urządzeń.</w:t>
            </w:r>
          </w:p>
        </w:tc>
        <w:tc>
          <w:tcPr>
            <w:tcW w:w="5264" w:type="dxa"/>
          </w:tcPr>
          <w:p w14:paraId="2008DD90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19E82B39" w14:textId="219BC86E" w:rsidTr="00E37320">
        <w:tc>
          <w:tcPr>
            <w:tcW w:w="553" w:type="dxa"/>
            <w:vAlign w:val="center"/>
          </w:tcPr>
          <w:p w14:paraId="2C10FFB2" w14:textId="4D0EE002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3</w:t>
            </w:r>
          </w:p>
        </w:tc>
        <w:tc>
          <w:tcPr>
            <w:tcW w:w="2236" w:type="dxa"/>
            <w:vAlign w:val="center"/>
          </w:tcPr>
          <w:p w14:paraId="232E143A" w14:textId="6E2F491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eastAsia="Arial" w:hAnsiTheme="minorHAnsi" w:cstheme="minorHAns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Sieciowa Kamera IP z uchwytem do zastosowań morskich, offshore i przemysłowych </w:t>
            </w:r>
          </w:p>
        </w:tc>
        <w:tc>
          <w:tcPr>
            <w:tcW w:w="1247" w:type="dxa"/>
            <w:vAlign w:val="center"/>
          </w:tcPr>
          <w:p w14:paraId="39CAB044" w14:textId="0442FFF4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 xml:space="preserve">12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kpl</w:t>
            </w:r>
            <w:proofErr w:type="spellEnd"/>
          </w:p>
        </w:tc>
        <w:tc>
          <w:tcPr>
            <w:tcW w:w="5408" w:type="dxa"/>
            <w:vAlign w:val="center"/>
          </w:tcPr>
          <w:p w14:paraId="632FDF48" w14:textId="1D7A566C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Przeznaczone do pracy na otwartych pokładach. Parametry: rozdzielczość min 6MP/4K możliwość pracy z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>szybkością do 30kl/s, kompresja H.265+, H.265, H.264; min 30 x powiększenie optyczne. Obsługa ONVIF i RTSP. Stopień ochrony min. IP68. Przednia szyba wykonana ze szkła hartowanego z powłoką hydrofobową i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antyrefleksyjną. Zakres temperatur pracy -30 stopni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C do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50 stopni C. Zasilanie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PoE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oraz możliwość zasilania 24V DC. 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lastRenderedPageBreak/>
              <w:t>Możliwość zastosowania obiektywu zmiennoogniskowego z automatycznym ustawieniem ostrości. Konstrukcja modułowa i serwisowalna umożliwiająca zmianę konfiguracji oraz późniejszą rozbudowę urządzenia. Fabryczny przewód przyłączeniowy o długości min 5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m,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umożliwiający umieszczenie punktu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terminacji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poza miejscem instalacji kamery. Powinny posiadać system ogrzewania przeciw kondensacyjnego i   </w:t>
            </w:r>
            <w:proofErr w:type="spellStart"/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odszraniania</w:t>
            </w:r>
            <w:proofErr w:type="spellEnd"/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 xml:space="preserve"> przeznaczony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do ograniczenia kondensacji wilgoci i oblodzenia elementów kamery. Kamera powinna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posiadać funkcje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widzenia w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nocy oraz posiadać </w:t>
            </w:r>
            <w:r w:rsidRPr="003310C2">
              <w:rPr>
                <w:rFonts w:asciiTheme="minorHAnsi" w:hAnsiTheme="minorHAnsi" w:cstheme="minorHAnsi"/>
                <w:lang w:val="pl-PL"/>
              </w:rPr>
              <w:t>oświetlacz IR o zasięgu do min 50m.</w:t>
            </w:r>
          </w:p>
          <w:p w14:paraId="1E8E65D6" w14:textId="0B739C62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Materiał obudowy kamery:</w:t>
            </w:r>
          </w:p>
          <w:p w14:paraId="57E589B3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Stal nierdzewna AISI 316L klasy morskiej</w:t>
            </w:r>
          </w:p>
          <w:p w14:paraId="4C78162B" w14:textId="4B00492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Przednia szyba kamery:</w:t>
            </w:r>
          </w:p>
          <w:p w14:paraId="4487888D" w14:textId="2C1B9551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Szkło hartowane z powłoką hydrofobową i antyrefleksyjną</w:t>
            </w:r>
          </w:p>
          <w:p w14:paraId="2F2AD989" w14:textId="3E95BA7A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</w:p>
        </w:tc>
        <w:tc>
          <w:tcPr>
            <w:tcW w:w="5264" w:type="dxa"/>
          </w:tcPr>
          <w:p w14:paraId="7064F315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06D3AD07" w14:textId="62C76B8D" w:rsidTr="00E37320">
        <w:tc>
          <w:tcPr>
            <w:tcW w:w="553" w:type="dxa"/>
            <w:vAlign w:val="center"/>
          </w:tcPr>
          <w:p w14:paraId="1749312F" w14:textId="7CDACE85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4</w:t>
            </w:r>
          </w:p>
        </w:tc>
        <w:tc>
          <w:tcPr>
            <w:tcW w:w="2236" w:type="dxa"/>
            <w:vAlign w:val="center"/>
          </w:tcPr>
          <w:p w14:paraId="6DF08B79" w14:textId="41FDC111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eastAsia="Arial" w:hAnsiTheme="minorHAnsi" w:cstheme="minorHAns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Kamera IP </w:t>
            </w:r>
          </w:p>
        </w:tc>
        <w:tc>
          <w:tcPr>
            <w:tcW w:w="1247" w:type="dxa"/>
            <w:vAlign w:val="center"/>
          </w:tcPr>
          <w:p w14:paraId="40239206" w14:textId="627865C2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 xml:space="preserve">10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kpl</w:t>
            </w:r>
            <w:proofErr w:type="spellEnd"/>
          </w:p>
        </w:tc>
        <w:tc>
          <w:tcPr>
            <w:tcW w:w="5408" w:type="dxa"/>
            <w:vAlign w:val="center"/>
          </w:tcPr>
          <w:p w14:paraId="7A8D2B40" w14:textId="4545B8E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>Przeznaczone do monitoringu pomieszczeń wewnętrznych jednostki. Wymagane parametry:</w:t>
            </w:r>
          </w:p>
          <w:p w14:paraId="2FA5CDC4" w14:textId="1ED2C644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 xml:space="preserve">Rozdzielczość min 4MP/4K, 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możliwość pracy z szybkością do 30kl/s, kompresja H.265+, H.265, H.264; Przetwornik klasy min 1/2 .8” CMOS, Obsługa ONVIF i RTSP. Ethernet min. 100Mb/s,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PoE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IEEE 802.3af, Podświetlenie IR do 40m, Detekcja ruchu, Stopień ochrony min IP66, przednia szyba z powłoką antyrefleksyjną.</w:t>
            </w:r>
          </w:p>
        </w:tc>
        <w:tc>
          <w:tcPr>
            <w:tcW w:w="5264" w:type="dxa"/>
          </w:tcPr>
          <w:p w14:paraId="1775FA0F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bCs/>
                <w:lang w:val="pl-PL" w:eastAsia="pl-PL"/>
              </w:rPr>
            </w:pPr>
          </w:p>
        </w:tc>
      </w:tr>
      <w:tr w:rsidR="003310C2" w:rsidRPr="003310C2" w14:paraId="0D0AA36A" w14:textId="5950C47E" w:rsidTr="00E37320">
        <w:tc>
          <w:tcPr>
            <w:tcW w:w="553" w:type="dxa"/>
            <w:vAlign w:val="center"/>
          </w:tcPr>
          <w:p w14:paraId="7ACEE3FF" w14:textId="1BD744E1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5</w:t>
            </w:r>
          </w:p>
        </w:tc>
        <w:tc>
          <w:tcPr>
            <w:tcW w:w="2236" w:type="dxa"/>
            <w:vAlign w:val="center"/>
          </w:tcPr>
          <w:p w14:paraId="6E0DB9FA" w14:textId="7B3457AD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eastAsia="Arial" w:hAnsiTheme="minorHAnsi" w:cstheme="minorHAnsi"/>
                <w:b/>
                <w:bCs/>
                <w:color w:val="000000"/>
                <w:sz w:val="20"/>
                <w:szCs w:val="20"/>
                <w:lang w:val="pl-PL" w:bidi="pl-PL"/>
              </w:rPr>
              <w:t xml:space="preserve">Centralna szafa teleinformatyczna </w:t>
            </w:r>
          </w:p>
        </w:tc>
        <w:tc>
          <w:tcPr>
            <w:tcW w:w="1247" w:type="dxa"/>
            <w:vAlign w:val="center"/>
          </w:tcPr>
          <w:p w14:paraId="1FA48DE7" w14:textId="0A447764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 xml:space="preserve">1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  <w:lang w:val="pl-PL" w:eastAsia="pl-PL"/>
              </w:rPr>
              <w:t>kpl</w:t>
            </w:r>
            <w:proofErr w:type="spellEnd"/>
          </w:p>
        </w:tc>
        <w:tc>
          <w:tcPr>
            <w:tcW w:w="5408" w:type="dxa"/>
            <w:vAlign w:val="center"/>
          </w:tcPr>
          <w:p w14:paraId="06E4A7EB" w14:textId="7D198E96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Główne urządzenie systemu należy zabudować w</w:t>
            </w:r>
            <w:r w:rsidR="00BA7F67">
              <w:rPr>
                <w:rFonts w:asciiTheme="minorHAnsi" w:hAnsiTheme="minorHAnsi" w:cstheme="minorHAnsi"/>
                <w:lang w:val="pl-PL" w:eastAsia="pl-PL"/>
              </w:rPr>
              <w:t> 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zamykanej szafie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rack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19’’wysokości 16U i wymiarach 600x 600 mm. W szafie powinien znaleźć się centralny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serwer,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urządzenia sieciowe,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patchpanele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, UPS, listwa zasilająca,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organizery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kablowe, elementy prowadzenia przewodów oraz system wentylacji z termostatem. Szafa powinna posiadać odpowiednią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ilość miejsca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umożliwiającą późniejszą rozbudowę systemu,</w:t>
            </w:r>
          </w:p>
        </w:tc>
        <w:tc>
          <w:tcPr>
            <w:tcW w:w="5264" w:type="dxa"/>
          </w:tcPr>
          <w:p w14:paraId="0A8F0053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  <w:tr w:rsidR="003310C2" w:rsidRPr="003310C2" w14:paraId="7A6F43F9" w14:textId="700B6EE1" w:rsidTr="00E37320">
        <w:trPr>
          <w:trHeight w:val="143"/>
        </w:trPr>
        <w:tc>
          <w:tcPr>
            <w:tcW w:w="553" w:type="dxa"/>
            <w:vAlign w:val="center"/>
          </w:tcPr>
          <w:p w14:paraId="4AF269E1" w14:textId="64D58999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6</w:t>
            </w:r>
          </w:p>
        </w:tc>
        <w:tc>
          <w:tcPr>
            <w:tcW w:w="2236" w:type="dxa"/>
            <w:vAlign w:val="center"/>
          </w:tcPr>
          <w:p w14:paraId="01A99CB5" w14:textId="5A2FD0C4" w:rsidR="003310C2" w:rsidRPr="003310C2" w:rsidRDefault="003310C2" w:rsidP="003310C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Lokalne stanowisko operatorskie na mostku </w:t>
            </w:r>
          </w:p>
          <w:p w14:paraId="50D4B36E" w14:textId="4A43BD6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lang w:val="pl-PL" w:eastAsia="pl-PL"/>
              </w:rPr>
            </w:pPr>
          </w:p>
        </w:tc>
        <w:tc>
          <w:tcPr>
            <w:tcW w:w="1247" w:type="dxa"/>
            <w:vAlign w:val="center"/>
          </w:tcPr>
          <w:p w14:paraId="0AF462DF" w14:textId="7768C77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lang w:val="pl-PL" w:eastAsia="pl-PL"/>
              </w:rPr>
              <w:t xml:space="preserve"> </w:t>
            </w: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1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kpl</w:t>
            </w:r>
            <w:proofErr w:type="spellEnd"/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  </w:t>
            </w:r>
          </w:p>
        </w:tc>
        <w:tc>
          <w:tcPr>
            <w:tcW w:w="5408" w:type="dxa"/>
            <w:vAlign w:val="center"/>
          </w:tcPr>
          <w:p w14:paraId="46D1F7DA" w14:textId="4816B6B1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powinno być wyposażone w dedykowaną sprzętową jednostkę podglądu systemu, niewymagającą klasycznej stacji PC do bieżącej obsługi monitoringu.</w:t>
            </w:r>
          </w:p>
          <w:p w14:paraId="001E3DB7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lastRenderedPageBreak/>
              <w:t>Jednostka powinna posiadać:</w:t>
            </w:r>
          </w:p>
          <w:p w14:paraId="23324EF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Ethernet min. 1 Gb/s;</w:t>
            </w:r>
          </w:p>
          <w:p w14:paraId="5C0BA65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Wyjście HDMI;</w:t>
            </w:r>
          </w:p>
          <w:p w14:paraId="45F8DBE0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obsługę rozdzielczości wyjściowej do 3840 × 2160;</w:t>
            </w:r>
          </w:p>
          <w:p w14:paraId="771807C6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sprzętowe dekodowanie H.264 i H.265;</w:t>
            </w:r>
          </w:p>
          <w:p w14:paraId="6FEF2A3E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możliwość jednoczesnego wyświetlania min. 22 strumieni z wykorzystaniem strumieni pomocniczych;</w:t>
            </w:r>
          </w:p>
          <w:p w14:paraId="45347B58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dostęp do podglądu na żywo oraz materiału archiwalnego;</w:t>
            </w:r>
          </w:p>
          <w:p w14:paraId="096CAB53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 xml:space="preserve">obsługę funkcji PTZ, </w:t>
            </w:r>
            <w:proofErr w:type="spellStart"/>
            <w:r w:rsidRPr="003310C2">
              <w:rPr>
                <w:rFonts w:asciiTheme="minorHAnsi" w:hAnsiTheme="minorHAnsi" w:cstheme="minorHAnsi"/>
                <w:lang w:val="pl-PL"/>
              </w:rPr>
              <w:t>snapshot</w:t>
            </w:r>
            <w:proofErr w:type="spellEnd"/>
            <w:r w:rsidRPr="003310C2">
              <w:rPr>
                <w:rFonts w:asciiTheme="minorHAnsi" w:hAnsiTheme="minorHAnsi" w:cstheme="minorHAnsi"/>
                <w:lang w:val="pl-PL"/>
              </w:rPr>
              <w:t xml:space="preserve"> oraz logów systemowych.</w:t>
            </w:r>
          </w:p>
          <w:p w14:paraId="28F54627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należy wyposażyć w monitor o przekątnej min. 27", matrycę IPS lub równoważną oraz uchwyt umożliwiający trwały montaż monitora do sufitu.</w:t>
            </w:r>
          </w:p>
          <w:p w14:paraId="6491061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Obsługa stanowiska powinna odbywać się za pomocą przewodowej klawiatury ze zintegrowanym trackballem, bez konieczności stosowania oddzielnej myszy.</w:t>
            </w:r>
          </w:p>
          <w:p w14:paraId="5C81CBAB" w14:textId="64A560D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/>
                <w:bCs/>
                <w:lang w:val="pl-PL" w:eastAsia="pl-PL"/>
              </w:rPr>
            </w:pPr>
          </w:p>
        </w:tc>
        <w:tc>
          <w:tcPr>
            <w:tcW w:w="5264" w:type="dxa"/>
          </w:tcPr>
          <w:p w14:paraId="01A9B42A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3189040D" w14:textId="064FC963" w:rsidTr="00E37320">
        <w:trPr>
          <w:trHeight w:val="143"/>
        </w:trPr>
        <w:tc>
          <w:tcPr>
            <w:tcW w:w="553" w:type="dxa"/>
            <w:vAlign w:val="center"/>
          </w:tcPr>
          <w:p w14:paraId="4A6AFA48" w14:textId="309F0D41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7</w:t>
            </w:r>
          </w:p>
        </w:tc>
        <w:tc>
          <w:tcPr>
            <w:tcW w:w="2236" w:type="dxa"/>
            <w:vAlign w:val="center"/>
          </w:tcPr>
          <w:p w14:paraId="051082BD" w14:textId="26D6C33C" w:rsidR="003310C2" w:rsidRPr="003310C2" w:rsidRDefault="003310C2" w:rsidP="003310C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Lokalne stanowisko operatorskie w CMK </w:t>
            </w:r>
          </w:p>
        </w:tc>
        <w:tc>
          <w:tcPr>
            <w:tcW w:w="1247" w:type="dxa"/>
            <w:vAlign w:val="center"/>
          </w:tcPr>
          <w:p w14:paraId="65743352" w14:textId="5DF1D5A3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1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kpl</w:t>
            </w:r>
            <w:proofErr w:type="spellEnd"/>
          </w:p>
        </w:tc>
        <w:tc>
          <w:tcPr>
            <w:tcW w:w="5408" w:type="dxa"/>
            <w:vAlign w:val="center"/>
          </w:tcPr>
          <w:p w14:paraId="35E1C681" w14:textId="32611D33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Wymagania analogiczne jak dla stanowiska na mostku, obejmujące dedykowaną jednostkę podglądu, monitor min. 27" zamontowany do sufitu oraz przewodową klawiaturę ze zintegrowanym trackballem.</w:t>
            </w:r>
          </w:p>
        </w:tc>
        <w:tc>
          <w:tcPr>
            <w:tcW w:w="5264" w:type="dxa"/>
          </w:tcPr>
          <w:p w14:paraId="3DED87B3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232BEDC4" w14:textId="2D68198F" w:rsidTr="00E37320">
        <w:tc>
          <w:tcPr>
            <w:tcW w:w="553" w:type="dxa"/>
            <w:vAlign w:val="center"/>
          </w:tcPr>
          <w:p w14:paraId="016556C0" w14:textId="674D4AFF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8</w:t>
            </w:r>
          </w:p>
        </w:tc>
        <w:tc>
          <w:tcPr>
            <w:tcW w:w="2236" w:type="dxa"/>
            <w:vAlign w:val="center"/>
          </w:tcPr>
          <w:p w14:paraId="27BDAACB" w14:textId="23F8DCB5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Zdalne stanowisko monitoring (biuro/Ląd) </w:t>
            </w:r>
          </w:p>
        </w:tc>
        <w:tc>
          <w:tcPr>
            <w:tcW w:w="1247" w:type="dxa"/>
            <w:vAlign w:val="center"/>
          </w:tcPr>
          <w:p w14:paraId="324DEA35" w14:textId="5663677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2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kpl</w:t>
            </w:r>
            <w:proofErr w:type="spellEnd"/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5408" w:type="dxa"/>
            <w:vAlign w:val="center"/>
          </w:tcPr>
          <w:p w14:paraId="4658B10C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System powinien umożliwiać zdalny dostęp do centralnego systemu z dedykowanego stanowiska operatorskiego zlokalizowanego poza jednostką.</w:t>
            </w:r>
          </w:p>
          <w:p w14:paraId="538CE39D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powinno obejmować dedykowaną jednostkę komputerową przeznaczoną do obsługi systemu, wyposażoną co najmniej w:</w:t>
            </w:r>
          </w:p>
          <w:p w14:paraId="5F04D819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min. 16 GB RAM;</w:t>
            </w:r>
          </w:p>
          <w:p w14:paraId="57E31DA8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min. 1 TB SSD;</w:t>
            </w:r>
          </w:p>
          <w:p w14:paraId="3EF5A96C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dedykowany układ graficzny ze sprzętowym dekodowaniem H.264/H.265;</w:t>
            </w:r>
          </w:p>
          <w:p w14:paraId="71716395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możliwość jednoczesnej obsługi min. dwóch niezależnych wyjść 4K;</w:t>
            </w:r>
          </w:p>
          <w:p w14:paraId="260632AF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przewodowy interfejs Ethernet min. 1 Gb/s.</w:t>
            </w:r>
          </w:p>
          <w:p w14:paraId="56D3183F" w14:textId="2ECF3CFF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Każde stanowisko należy wyposażyć monitor o przekątnej min. 55".</w:t>
            </w:r>
          </w:p>
          <w:p w14:paraId="7B561D52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 xml:space="preserve">Monitory powinny być przeznaczone do pracy ciągłej </w:t>
            </w:r>
            <w:r w:rsidRPr="003310C2">
              <w:rPr>
                <w:rFonts w:asciiTheme="minorHAnsi" w:hAnsiTheme="minorHAnsi" w:cstheme="minorHAnsi"/>
                <w:lang w:val="pl-PL"/>
              </w:rPr>
              <w:lastRenderedPageBreak/>
              <w:t>24/7/365 i zamontowane na systemie mocowania ściennego.</w:t>
            </w:r>
          </w:p>
          <w:p w14:paraId="721ED059" w14:textId="194D9AE8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Stanowisko powinno umożliwiać podgląd obrazu na żywo oraz dostęp do materiału archiwalnego zgodnie z uprawnieniami użytkownika.</w:t>
            </w:r>
          </w:p>
        </w:tc>
        <w:tc>
          <w:tcPr>
            <w:tcW w:w="5264" w:type="dxa"/>
          </w:tcPr>
          <w:p w14:paraId="0DA958BF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55D972ED" w14:textId="2B5EF099" w:rsidTr="00E37320">
        <w:tc>
          <w:tcPr>
            <w:tcW w:w="553" w:type="dxa"/>
            <w:vAlign w:val="center"/>
          </w:tcPr>
          <w:p w14:paraId="0621F1B3" w14:textId="121ACD42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9</w:t>
            </w:r>
          </w:p>
        </w:tc>
        <w:tc>
          <w:tcPr>
            <w:tcW w:w="2236" w:type="dxa"/>
            <w:vAlign w:val="center"/>
          </w:tcPr>
          <w:p w14:paraId="6649AF1A" w14:textId="77777777" w:rsidR="003310C2" w:rsidRPr="003310C2" w:rsidRDefault="003310C2" w:rsidP="003310C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A7F6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Zasilanie</w:t>
            </w:r>
            <w:r w:rsidRPr="003310C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BA7F6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gwarantowane</w:t>
            </w:r>
          </w:p>
          <w:p w14:paraId="5F421E84" w14:textId="7777777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14:paraId="06999A87" w14:textId="394AE01E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 xml:space="preserve">1 </w:t>
            </w:r>
            <w:proofErr w:type="spellStart"/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kpl</w:t>
            </w:r>
            <w:proofErr w:type="spellEnd"/>
          </w:p>
        </w:tc>
        <w:tc>
          <w:tcPr>
            <w:tcW w:w="5408" w:type="dxa"/>
            <w:vAlign w:val="center"/>
          </w:tcPr>
          <w:p w14:paraId="7D6411E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Wszystkie elementy systemu powinny zostać objęte zasilaniem gwarantowanym UPS.</w:t>
            </w:r>
          </w:p>
          <w:p w14:paraId="030F65BF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 xml:space="preserve">Centralny UPS powinien być urządzeniem typu online, przeznaczonym do zabudowy </w:t>
            </w:r>
            <w:proofErr w:type="spellStart"/>
            <w:r w:rsidRPr="003310C2">
              <w:rPr>
                <w:rFonts w:asciiTheme="minorHAnsi" w:hAnsiTheme="minorHAnsi" w:cstheme="minorHAnsi"/>
                <w:lang w:val="pl-PL"/>
              </w:rPr>
              <w:t>rack</w:t>
            </w:r>
            <w:proofErr w:type="spellEnd"/>
            <w:r w:rsidRPr="003310C2">
              <w:rPr>
                <w:rFonts w:asciiTheme="minorHAnsi" w:hAnsiTheme="minorHAnsi" w:cstheme="minorHAnsi"/>
                <w:lang w:val="pl-PL"/>
              </w:rPr>
              <w:t xml:space="preserve"> 19", o mocy min. 1500 VA i zapewniać podtrzymanie co najmniej centralnego serwera oraz aktywnych urządzeń sieciowych.</w:t>
            </w:r>
          </w:p>
          <w:p w14:paraId="4DC9E816" w14:textId="00BF0511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/>
              </w:rPr>
            </w:pPr>
            <w:r w:rsidRPr="003310C2">
              <w:rPr>
                <w:rFonts w:asciiTheme="minorHAnsi" w:hAnsiTheme="minorHAnsi" w:cstheme="minorHAnsi"/>
                <w:lang w:val="pl-PL"/>
              </w:rPr>
              <w:t>Lokalne stanowiska operatorskie oraz zdalne stanowisko monitoringu powinny posiadać niezależne zasilanie gwarantowane o parametrach odpowiednich dla zastosowanych urządzeń.</w:t>
            </w:r>
          </w:p>
        </w:tc>
        <w:tc>
          <w:tcPr>
            <w:tcW w:w="5264" w:type="dxa"/>
          </w:tcPr>
          <w:p w14:paraId="7440E7B0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3310C2" w:rsidRPr="003310C2" w14:paraId="0582526F" w14:textId="649C8281" w:rsidTr="00E37320">
        <w:tc>
          <w:tcPr>
            <w:tcW w:w="553" w:type="dxa"/>
            <w:vAlign w:val="center"/>
          </w:tcPr>
          <w:p w14:paraId="7A3019E1" w14:textId="6A41BB63" w:rsidR="003310C2" w:rsidRPr="003310C2" w:rsidRDefault="003310C2" w:rsidP="003310C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color w:val="000000"/>
                <w:lang w:val="pl-PL" w:eastAsia="pl-PL"/>
              </w:rPr>
              <w:t>10</w:t>
            </w:r>
          </w:p>
        </w:tc>
        <w:tc>
          <w:tcPr>
            <w:tcW w:w="2236" w:type="dxa"/>
            <w:vAlign w:val="center"/>
          </w:tcPr>
          <w:p w14:paraId="225DD0C4" w14:textId="02252670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b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/>
                <w:iCs/>
                <w:sz w:val="20"/>
                <w:szCs w:val="20"/>
                <w:lang w:val="pl-PL" w:eastAsia="pl-PL"/>
              </w:rPr>
              <w:t xml:space="preserve">Materiały podłączeniowe: </w:t>
            </w:r>
          </w:p>
        </w:tc>
        <w:tc>
          <w:tcPr>
            <w:tcW w:w="1247" w:type="dxa"/>
            <w:vAlign w:val="center"/>
          </w:tcPr>
          <w:p w14:paraId="041EA4C8" w14:textId="38ACD5D7" w:rsidR="003310C2" w:rsidRPr="003310C2" w:rsidRDefault="003310C2" w:rsidP="003310C2">
            <w:pPr>
              <w:spacing w:line="360" w:lineRule="auto"/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iCs/>
                <w:sz w:val="20"/>
                <w:szCs w:val="20"/>
                <w:lang w:val="pl-PL" w:eastAsia="pl-PL"/>
              </w:rPr>
              <w:t>1 komplet</w:t>
            </w:r>
          </w:p>
        </w:tc>
        <w:tc>
          <w:tcPr>
            <w:tcW w:w="5408" w:type="dxa"/>
            <w:vAlign w:val="center"/>
          </w:tcPr>
          <w:p w14:paraId="07AF890B" w14:textId="6496F0B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color w:val="FF0000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Należy zastosować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patchpanele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19’’, min.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Cat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6A o pojemności 24 portów każdy. Okablowanie kamer należy wykonać ekranowanym przewodem min. </w:t>
            </w:r>
            <w:proofErr w:type="spellStart"/>
            <w:r w:rsidRPr="003310C2">
              <w:rPr>
                <w:rFonts w:asciiTheme="minorHAnsi" w:hAnsiTheme="minorHAnsi" w:cstheme="minorHAnsi"/>
                <w:lang w:val="pl-PL" w:eastAsia="pl-PL"/>
              </w:rPr>
              <w:t>Cat</w:t>
            </w:r>
            <w:proofErr w:type="spellEnd"/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6A w wykonaniu przeznaczonym do zastosowań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morskich,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posiadającym odpowiednie dopuszczenie lub </w:t>
            </w:r>
            <w:r w:rsidR="00BA7F67" w:rsidRPr="003310C2">
              <w:rPr>
                <w:rFonts w:asciiTheme="minorHAnsi" w:hAnsiTheme="minorHAnsi" w:cstheme="minorHAnsi"/>
                <w:lang w:val="pl-PL" w:eastAsia="pl-PL"/>
              </w:rPr>
              <w:t>certyfikacje morską</w:t>
            </w:r>
            <w:r w:rsidRPr="003310C2">
              <w:rPr>
                <w:rFonts w:asciiTheme="minorHAnsi" w:hAnsiTheme="minorHAnsi" w:cstheme="minorHAnsi"/>
                <w:lang w:val="pl-PL" w:eastAsia="pl-PL"/>
              </w:rPr>
              <w:t xml:space="preserve"> </w:t>
            </w:r>
            <w:r w:rsidRPr="003310C2">
              <w:rPr>
                <w:rFonts w:asciiTheme="minorHAnsi" w:hAnsiTheme="minorHAnsi" w:cstheme="minorHAnsi"/>
                <w:color w:val="000000" w:themeColor="text1"/>
                <w:lang w:val="pl-PL" w:eastAsia="pl-PL"/>
              </w:rPr>
              <w:t>(cert. tow. klasyfikacyjnego zrzeszonego w IACS</w:t>
            </w:r>
            <w:r w:rsidR="00BA7F67" w:rsidRPr="003310C2">
              <w:rPr>
                <w:rFonts w:asciiTheme="minorHAnsi" w:hAnsiTheme="minorHAnsi" w:cstheme="minorHAnsi"/>
                <w:color w:val="000000" w:themeColor="text1"/>
                <w:lang w:val="pl-PL" w:eastAsia="pl-PL"/>
              </w:rPr>
              <w:t>).</w:t>
            </w:r>
          </w:p>
          <w:p w14:paraId="53175D64" w14:textId="77777777" w:rsidR="003310C2" w:rsidRPr="003310C2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lang w:val="pl-PL" w:eastAsia="pl-PL"/>
              </w:rPr>
              <w:t>Wszystkie materiały podłączeniowe i instalacyjne należy uwzględnić w cenie między innymi:</w:t>
            </w:r>
          </w:p>
          <w:p w14:paraId="26A43B43" w14:textId="6E7A6651" w:rsidR="003310C2" w:rsidRPr="00BA7F67" w:rsidRDefault="003310C2" w:rsidP="00BA7F67">
            <w:pPr>
              <w:pStyle w:val="Bezodstpw"/>
              <w:jc w:val="both"/>
              <w:rPr>
                <w:rFonts w:asciiTheme="minorHAnsi" w:hAnsiTheme="minorHAnsi" w:cstheme="minorHAnsi"/>
                <w:bCs/>
                <w:lang w:val="pl-PL" w:eastAsia="pl-PL"/>
              </w:rPr>
            </w:pP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>przedłużacze USB, pendrive min 128</w:t>
            </w:r>
            <w:r w:rsidR="00BA7F67" w:rsidRPr="003310C2">
              <w:rPr>
                <w:rFonts w:asciiTheme="minorHAnsi" w:hAnsiTheme="minorHAnsi" w:cstheme="minorHAnsi"/>
                <w:bCs/>
                <w:lang w:val="pl-PL" w:eastAsia="pl-PL"/>
              </w:rPr>
              <w:t>GB,</w:t>
            </w:r>
            <w:r w:rsidRPr="003310C2">
              <w:rPr>
                <w:rFonts w:asciiTheme="minorHAnsi" w:hAnsiTheme="minorHAnsi" w:cstheme="minorHAnsi"/>
                <w:bCs/>
                <w:lang w:val="pl-PL" w:eastAsia="pl-PL"/>
              </w:rPr>
              <w:t xml:space="preserve"> Kabel UTP CAT 6A morski, opaski metalowe i plastikowe, certyfikowane przepusty kablowe, kable VGA i HDMI, puszki przyłączeniowe zewnętrzne i wewnętrzne.</w:t>
            </w:r>
          </w:p>
        </w:tc>
        <w:tc>
          <w:tcPr>
            <w:tcW w:w="5264" w:type="dxa"/>
          </w:tcPr>
          <w:p w14:paraId="63478E64" w14:textId="77777777" w:rsidR="003310C2" w:rsidRPr="003310C2" w:rsidRDefault="003310C2" w:rsidP="003310C2">
            <w:pPr>
              <w:pStyle w:val="Bezodstpw"/>
              <w:rPr>
                <w:rFonts w:asciiTheme="minorHAnsi" w:hAnsiTheme="minorHAnsi" w:cstheme="minorHAnsi"/>
                <w:lang w:val="pl-PL" w:eastAsia="pl-PL"/>
              </w:rPr>
            </w:pPr>
          </w:p>
        </w:tc>
      </w:tr>
    </w:tbl>
    <w:p w14:paraId="478FEE5D" w14:textId="393BFFFF" w:rsidR="00B622E4" w:rsidRPr="003310C2" w:rsidRDefault="00B622E4" w:rsidP="003310C2">
      <w:pPr>
        <w:pStyle w:val="Akapitzlist"/>
        <w:spacing w:line="360" w:lineRule="auto"/>
        <w:ind w:left="426"/>
        <w:jc w:val="both"/>
        <w:rPr>
          <w:rFonts w:asciiTheme="minorHAnsi" w:hAnsiTheme="minorHAnsi" w:cstheme="minorHAnsi"/>
          <w:lang w:val="pl-PL" w:eastAsia="pl-PL"/>
        </w:rPr>
      </w:pPr>
    </w:p>
    <w:p w14:paraId="6FD88C8A" w14:textId="5DF6EC7F" w:rsidR="00B622E4" w:rsidRPr="003310C2" w:rsidRDefault="00B622E4" w:rsidP="0031217F">
      <w:pPr>
        <w:spacing w:line="360" w:lineRule="auto"/>
        <w:rPr>
          <w:rFonts w:asciiTheme="minorHAnsi" w:hAnsiTheme="minorHAnsi" w:cstheme="minorHAnsi"/>
          <w:iCs/>
          <w:color w:val="000000"/>
          <w:sz w:val="24"/>
          <w:lang w:val="pl-PL" w:eastAsia="pl-PL"/>
        </w:rPr>
      </w:pPr>
    </w:p>
    <w:sectPr w:rsidR="00B622E4" w:rsidRPr="003310C2" w:rsidSect="003310C2">
      <w:headerReference w:type="default" r:id="rId11"/>
      <w:type w:val="continuous"/>
      <w:pgSz w:w="16840" w:h="11906" w:orient="landscape"/>
      <w:pgMar w:top="993" w:right="1843" w:bottom="849" w:left="142" w:header="568" w:footer="182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32547" w14:textId="77777777" w:rsidR="00576EF8" w:rsidRDefault="00576EF8" w:rsidP="0028332A">
      <w:r>
        <w:separator/>
      </w:r>
    </w:p>
  </w:endnote>
  <w:endnote w:type="continuationSeparator" w:id="0">
    <w:p w14:paraId="05E1A441" w14:textId="77777777" w:rsidR="00576EF8" w:rsidRDefault="00576EF8" w:rsidP="0028332A">
      <w:r>
        <w:continuationSeparator/>
      </w:r>
    </w:p>
  </w:endnote>
  <w:endnote w:type="continuationNotice" w:id="1">
    <w:p w14:paraId="576ED2B3" w14:textId="77777777" w:rsidR="00576EF8" w:rsidRDefault="00576E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80722" w14:textId="77777777" w:rsidR="00576EF8" w:rsidRDefault="00576EF8" w:rsidP="0028332A">
      <w:r>
        <w:separator/>
      </w:r>
    </w:p>
  </w:footnote>
  <w:footnote w:type="continuationSeparator" w:id="0">
    <w:p w14:paraId="5CFCF50F" w14:textId="77777777" w:rsidR="00576EF8" w:rsidRDefault="00576EF8" w:rsidP="0028332A">
      <w:r>
        <w:continuationSeparator/>
      </w:r>
    </w:p>
  </w:footnote>
  <w:footnote w:type="continuationNotice" w:id="1">
    <w:p w14:paraId="3FACCDAE" w14:textId="77777777" w:rsidR="00576EF8" w:rsidRDefault="00576E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4B152" w14:textId="77777777" w:rsidR="00E37320" w:rsidRDefault="003310C2" w:rsidP="00E37320">
    <w:pPr>
      <w:pStyle w:val="Nagwek"/>
      <w:ind w:left="3992" w:hanging="2552"/>
      <w:rPr>
        <w:lang w:val="pl-PL"/>
      </w:rPr>
    </w:pPr>
    <w:r w:rsidRPr="00BA7F67">
      <w:rPr>
        <w:lang w:val="pl-PL"/>
      </w:rPr>
      <w:t>Wykaz oferowanych urządzeń</w:t>
    </w:r>
  </w:p>
  <w:p w14:paraId="7161A9C8" w14:textId="4C8C88B9" w:rsidR="003310C2" w:rsidRPr="00BA7F67" w:rsidRDefault="00BA7F67" w:rsidP="00E37320">
    <w:pPr>
      <w:pStyle w:val="Nagwek"/>
      <w:ind w:left="3992" w:hanging="2552"/>
      <w:rPr>
        <w:rFonts w:asciiTheme="minorHAnsi" w:hAnsiTheme="minorHAnsi" w:cstheme="minorHAnsi"/>
        <w:i/>
        <w:szCs w:val="24"/>
        <w:lang w:val="pl-PL" w:eastAsia="pl-PL"/>
      </w:rPr>
    </w:pPr>
    <w:r w:rsidRPr="00BA7F67">
      <w:rPr>
        <w:rFonts w:asciiTheme="minorHAnsi" w:hAnsiTheme="minorHAnsi" w:cstheme="minorHAnsi"/>
        <w:i/>
        <w:sz w:val="20"/>
        <w:lang w:val="pl-PL"/>
      </w:rPr>
      <w:t>D</w:t>
    </w:r>
    <w:r w:rsidR="00E37320">
      <w:rPr>
        <w:rFonts w:asciiTheme="minorHAnsi" w:hAnsiTheme="minorHAnsi" w:cstheme="minorHAnsi"/>
        <w:i/>
        <w:sz w:val="20"/>
        <w:lang w:val="pl-PL"/>
      </w:rPr>
      <w:t>o</w:t>
    </w:r>
    <w:r w:rsidRPr="00BA7F67">
      <w:rPr>
        <w:rFonts w:asciiTheme="minorHAnsi" w:hAnsiTheme="minorHAnsi" w:cstheme="minorHAnsi"/>
        <w:i/>
        <w:sz w:val="20"/>
        <w:lang w:val="pl-PL"/>
      </w:rPr>
      <w:t>stawa systemu kamer i niezbędnej infrastruktury monitoringu wraz z instalacją na statku szkoleniowym Uniwersytetu Morskiego w Gdyni - Horyzont II</w:t>
    </w:r>
    <w:r w:rsidR="00134BBF">
      <w:rPr>
        <w:rFonts w:asciiTheme="minorHAnsi" w:hAnsiTheme="minorHAnsi" w:cstheme="minorHAnsi"/>
        <w:i/>
        <w:sz w:val="20"/>
        <w:lang w:val="pl-PL"/>
      </w:rPr>
      <w:t xml:space="preserve"> - powtórne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3609E"/>
    <w:multiLevelType w:val="hybridMultilevel"/>
    <w:tmpl w:val="9E76BC7E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8820EAC"/>
    <w:multiLevelType w:val="hybridMultilevel"/>
    <w:tmpl w:val="2BA2422A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9065F48"/>
    <w:multiLevelType w:val="hybridMultilevel"/>
    <w:tmpl w:val="52FC1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674E5"/>
    <w:multiLevelType w:val="hybridMultilevel"/>
    <w:tmpl w:val="76306F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C40973"/>
    <w:multiLevelType w:val="hybridMultilevel"/>
    <w:tmpl w:val="97CE3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4187B"/>
    <w:multiLevelType w:val="hybridMultilevel"/>
    <w:tmpl w:val="5CD0EB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931B5"/>
    <w:multiLevelType w:val="hybridMultilevel"/>
    <w:tmpl w:val="0D56F2A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C7C01"/>
    <w:multiLevelType w:val="multilevel"/>
    <w:tmpl w:val="F23476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031D45"/>
    <w:multiLevelType w:val="hybridMultilevel"/>
    <w:tmpl w:val="267A80D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2491106"/>
    <w:multiLevelType w:val="hybridMultilevel"/>
    <w:tmpl w:val="DD302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952BD"/>
    <w:multiLevelType w:val="multilevel"/>
    <w:tmpl w:val="E166C1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4056113"/>
    <w:multiLevelType w:val="hybridMultilevel"/>
    <w:tmpl w:val="E398E00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2525A"/>
    <w:multiLevelType w:val="hybridMultilevel"/>
    <w:tmpl w:val="C748986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A1B62FF"/>
    <w:multiLevelType w:val="hybridMultilevel"/>
    <w:tmpl w:val="A7EED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35A06"/>
    <w:multiLevelType w:val="hybridMultilevel"/>
    <w:tmpl w:val="52A63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5170C"/>
    <w:multiLevelType w:val="hybridMultilevel"/>
    <w:tmpl w:val="D70A4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E6D2B"/>
    <w:multiLevelType w:val="hybridMultilevel"/>
    <w:tmpl w:val="BC1894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3346599"/>
    <w:multiLevelType w:val="multilevel"/>
    <w:tmpl w:val="E1F27E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B165033"/>
    <w:multiLevelType w:val="hybridMultilevel"/>
    <w:tmpl w:val="D58E5C50"/>
    <w:lvl w:ilvl="0" w:tplc="03366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9B15E7"/>
    <w:multiLevelType w:val="hybridMultilevel"/>
    <w:tmpl w:val="73EA6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D68E7"/>
    <w:multiLevelType w:val="hybridMultilevel"/>
    <w:tmpl w:val="70FAA9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E7B3A"/>
    <w:multiLevelType w:val="hybridMultilevel"/>
    <w:tmpl w:val="5CFE1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11118"/>
    <w:multiLevelType w:val="hybridMultilevel"/>
    <w:tmpl w:val="018CA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7E77CC"/>
    <w:multiLevelType w:val="hybridMultilevel"/>
    <w:tmpl w:val="4B127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0365C"/>
    <w:multiLevelType w:val="hybridMultilevel"/>
    <w:tmpl w:val="5CFC83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6F5829"/>
    <w:multiLevelType w:val="hybridMultilevel"/>
    <w:tmpl w:val="3152A3E6"/>
    <w:lvl w:ilvl="0" w:tplc="04150003">
      <w:start w:val="1"/>
      <w:numFmt w:val="bullet"/>
      <w:lvlText w:val="o"/>
      <w:lvlJc w:val="left"/>
      <w:pPr>
        <w:ind w:left="104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26" w15:restartNumberingAfterBreak="0">
    <w:nsid w:val="6AE5192F"/>
    <w:multiLevelType w:val="hybridMultilevel"/>
    <w:tmpl w:val="B9242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1776D9"/>
    <w:multiLevelType w:val="hybridMultilevel"/>
    <w:tmpl w:val="892AA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47332"/>
    <w:multiLevelType w:val="hybridMultilevel"/>
    <w:tmpl w:val="C380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B6E50"/>
    <w:multiLevelType w:val="hybridMultilevel"/>
    <w:tmpl w:val="729097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F40EA5"/>
    <w:multiLevelType w:val="hybridMultilevel"/>
    <w:tmpl w:val="FEEC2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7"/>
  </w:num>
  <w:num w:numId="5">
    <w:abstractNumId w:val="10"/>
  </w:num>
  <w:num w:numId="6">
    <w:abstractNumId w:val="13"/>
  </w:num>
  <w:num w:numId="7">
    <w:abstractNumId w:val="8"/>
  </w:num>
  <w:num w:numId="8">
    <w:abstractNumId w:val="12"/>
  </w:num>
  <w:num w:numId="9">
    <w:abstractNumId w:val="18"/>
  </w:num>
  <w:num w:numId="10">
    <w:abstractNumId w:val="30"/>
  </w:num>
  <w:num w:numId="11">
    <w:abstractNumId w:val="9"/>
  </w:num>
  <w:num w:numId="12">
    <w:abstractNumId w:val="2"/>
  </w:num>
  <w:num w:numId="13">
    <w:abstractNumId w:val="28"/>
  </w:num>
  <w:num w:numId="14">
    <w:abstractNumId w:val="11"/>
  </w:num>
  <w:num w:numId="15">
    <w:abstractNumId w:val="27"/>
  </w:num>
  <w:num w:numId="16">
    <w:abstractNumId w:val="23"/>
  </w:num>
  <w:num w:numId="17">
    <w:abstractNumId w:val="19"/>
  </w:num>
  <w:num w:numId="18">
    <w:abstractNumId w:val="6"/>
  </w:num>
  <w:num w:numId="19">
    <w:abstractNumId w:val="16"/>
  </w:num>
  <w:num w:numId="20">
    <w:abstractNumId w:val="26"/>
  </w:num>
  <w:num w:numId="21">
    <w:abstractNumId w:val="3"/>
  </w:num>
  <w:num w:numId="22">
    <w:abstractNumId w:val="20"/>
  </w:num>
  <w:num w:numId="23">
    <w:abstractNumId w:val="29"/>
  </w:num>
  <w:num w:numId="24">
    <w:abstractNumId w:val="0"/>
  </w:num>
  <w:num w:numId="25">
    <w:abstractNumId w:val="14"/>
  </w:num>
  <w:num w:numId="26">
    <w:abstractNumId w:val="22"/>
  </w:num>
  <w:num w:numId="27">
    <w:abstractNumId w:val="21"/>
  </w:num>
  <w:num w:numId="28">
    <w:abstractNumId w:val="4"/>
  </w:num>
  <w:num w:numId="29">
    <w:abstractNumId w:val="24"/>
  </w:num>
  <w:num w:numId="30">
    <w:abstractNumId w:val="25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>
      <o:colormru v:ext="edit" colors="#004170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CDA"/>
    <w:rsid w:val="00005B16"/>
    <w:rsid w:val="0001028F"/>
    <w:rsid w:val="00013A0B"/>
    <w:rsid w:val="000152AB"/>
    <w:rsid w:val="00027F2B"/>
    <w:rsid w:val="00027FBE"/>
    <w:rsid w:val="000321D6"/>
    <w:rsid w:val="000327D8"/>
    <w:rsid w:val="00032CE6"/>
    <w:rsid w:val="00033408"/>
    <w:rsid w:val="00033661"/>
    <w:rsid w:val="00034597"/>
    <w:rsid w:val="00035BA1"/>
    <w:rsid w:val="00037F41"/>
    <w:rsid w:val="00043F7A"/>
    <w:rsid w:val="00052865"/>
    <w:rsid w:val="000530CB"/>
    <w:rsid w:val="00054ADC"/>
    <w:rsid w:val="00056F1B"/>
    <w:rsid w:val="00057FC5"/>
    <w:rsid w:val="00060F00"/>
    <w:rsid w:val="000717A5"/>
    <w:rsid w:val="00071D8D"/>
    <w:rsid w:val="000720A9"/>
    <w:rsid w:val="0007241E"/>
    <w:rsid w:val="00074A0C"/>
    <w:rsid w:val="0007617B"/>
    <w:rsid w:val="0008123D"/>
    <w:rsid w:val="00081BC8"/>
    <w:rsid w:val="00082E9C"/>
    <w:rsid w:val="000860C0"/>
    <w:rsid w:val="00095AD9"/>
    <w:rsid w:val="00096E60"/>
    <w:rsid w:val="000A1387"/>
    <w:rsid w:val="000A2D47"/>
    <w:rsid w:val="000A39CF"/>
    <w:rsid w:val="000A4B88"/>
    <w:rsid w:val="000A507A"/>
    <w:rsid w:val="000A52A2"/>
    <w:rsid w:val="000A7C30"/>
    <w:rsid w:val="000B16E1"/>
    <w:rsid w:val="000B18CF"/>
    <w:rsid w:val="000B25FD"/>
    <w:rsid w:val="000B267E"/>
    <w:rsid w:val="000B3A37"/>
    <w:rsid w:val="000B5905"/>
    <w:rsid w:val="000C1A6A"/>
    <w:rsid w:val="000C22CB"/>
    <w:rsid w:val="000C68A0"/>
    <w:rsid w:val="000D0919"/>
    <w:rsid w:val="000D326F"/>
    <w:rsid w:val="000D40F7"/>
    <w:rsid w:val="000D45D1"/>
    <w:rsid w:val="000D6366"/>
    <w:rsid w:val="000D6CD6"/>
    <w:rsid w:val="000D7091"/>
    <w:rsid w:val="000E189C"/>
    <w:rsid w:val="000F0C55"/>
    <w:rsid w:val="000F2293"/>
    <w:rsid w:val="00103590"/>
    <w:rsid w:val="00104D8F"/>
    <w:rsid w:val="00106C88"/>
    <w:rsid w:val="00107833"/>
    <w:rsid w:val="00110C09"/>
    <w:rsid w:val="001111EB"/>
    <w:rsid w:val="001143A4"/>
    <w:rsid w:val="001215E9"/>
    <w:rsid w:val="0012371E"/>
    <w:rsid w:val="001307C0"/>
    <w:rsid w:val="00131908"/>
    <w:rsid w:val="00134BBF"/>
    <w:rsid w:val="00135139"/>
    <w:rsid w:val="001353C7"/>
    <w:rsid w:val="00137B68"/>
    <w:rsid w:val="00137BD2"/>
    <w:rsid w:val="001404B2"/>
    <w:rsid w:val="00142556"/>
    <w:rsid w:val="00144695"/>
    <w:rsid w:val="00144955"/>
    <w:rsid w:val="0014638B"/>
    <w:rsid w:val="00146540"/>
    <w:rsid w:val="00147ED6"/>
    <w:rsid w:val="0015592C"/>
    <w:rsid w:val="00163491"/>
    <w:rsid w:val="00166997"/>
    <w:rsid w:val="00170053"/>
    <w:rsid w:val="00181153"/>
    <w:rsid w:val="00191E40"/>
    <w:rsid w:val="00191EAC"/>
    <w:rsid w:val="0019327A"/>
    <w:rsid w:val="001940A6"/>
    <w:rsid w:val="00196607"/>
    <w:rsid w:val="001A020A"/>
    <w:rsid w:val="001A0383"/>
    <w:rsid w:val="001A0B3D"/>
    <w:rsid w:val="001A150A"/>
    <w:rsid w:val="001A7276"/>
    <w:rsid w:val="001B2C16"/>
    <w:rsid w:val="001B538D"/>
    <w:rsid w:val="001C19A3"/>
    <w:rsid w:val="001C3C77"/>
    <w:rsid w:val="001C4D28"/>
    <w:rsid w:val="001D3023"/>
    <w:rsid w:val="001D4959"/>
    <w:rsid w:val="001D5B5F"/>
    <w:rsid w:val="001D5EF9"/>
    <w:rsid w:val="001E1F01"/>
    <w:rsid w:val="001E21AB"/>
    <w:rsid w:val="001E73A9"/>
    <w:rsid w:val="001F040F"/>
    <w:rsid w:val="001F15EC"/>
    <w:rsid w:val="001F6373"/>
    <w:rsid w:val="001F664A"/>
    <w:rsid w:val="00203FB6"/>
    <w:rsid w:val="00206806"/>
    <w:rsid w:val="00207909"/>
    <w:rsid w:val="00210FC5"/>
    <w:rsid w:val="00212ADE"/>
    <w:rsid w:val="0021720A"/>
    <w:rsid w:val="00217D48"/>
    <w:rsid w:val="002239BE"/>
    <w:rsid w:val="00226A5D"/>
    <w:rsid w:val="00227ABF"/>
    <w:rsid w:val="00231050"/>
    <w:rsid w:val="00232B55"/>
    <w:rsid w:val="00232FB6"/>
    <w:rsid w:val="00234105"/>
    <w:rsid w:val="002455D1"/>
    <w:rsid w:val="002507A0"/>
    <w:rsid w:val="002508BB"/>
    <w:rsid w:val="00251B17"/>
    <w:rsid w:val="00253F65"/>
    <w:rsid w:val="002555E1"/>
    <w:rsid w:val="00257C4D"/>
    <w:rsid w:val="00257F3F"/>
    <w:rsid w:val="00261B96"/>
    <w:rsid w:val="00264E66"/>
    <w:rsid w:val="0026661D"/>
    <w:rsid w:val="00266DCC"/>
    <w:rsid w:val="00273086"/>
    <w:rsid w:val="00276A02"/>
    <w:rsid w:val="00280542"/>
    <w:rsid w:val="0028332A"/>
    <w:rsid w:val="00285C61"/>
    <w:rsid w:val="00296B7C"/>
    <w:rsid w:val="002971B1"/>
    <w:rsid w:val="002A0D28"/>
    <w:rsid w:val="002A0FCF"/>
    <w:rsid w:val="002A21D2"/>
    <w:rsid w:val="002A5825"/>
    <w:rsid w:val="002A607A"/>
    <w:rsid w:val="002A7EF0"/>
    <w:rsid w:val="002A7EF9"/>
    <w:rsid w:val="002B436A"/>
    <w:rsid w:val="002B4793"/>
    <w:rsid w:val="002B543A"/>
    <w:rsid w:val="002C5EF1"/>
    <w:rsid w:val="002D00C4"/>
    <w:rsid w:val="002D0456"/>
    <w:rsid w:val="002D6865"/>
    <w:rsid w:val="002D6DF3"/>
    <w:rsid w:val="002D706E"/>
    <w:rsid w:val="002E4A0C"/>
    <w:rsid w:val="002E5FFA"/>
    <w:rsid w:val="002F34D3"/>
    <w:rsid w:val="00302642"/>
    <w:rsid w:val="003049BB"/>
    <w:rsid w:val="00307CFD"/>
    <w:rsid w:val="0031217F"/>
    <w:rsid w:val="003134AC"/>
    <w:rsid w:val="0031533D"/>
    <w:rsid w:val="00323DEA"/>
    <w:rsid w:val="003242C0"/>
    <w:rsid w:val="003310C2"/>
    <w:rsid w:val="003358ED"/>
    <w:rsid w:val="00345B31"/>
    <w:rsid w:val="00345DE0"/>
    <w:rsid w:val="00360D1E"/>
    <w:rsid w:val="00364608"/>
    <w:rsid w:val="0036796E"/>
    <w:rsid w:val="00372D6A"/>
    <w:rsid w:val="00374DDD"/>
    <w:rsid w:val="0037525B"/>
    <w:rsid w:val="00377B61"/>
    <w:rsid w:val="003840AD"/>
    <w:rsid w:val="003863D1"/>
    <w:rsid w:val="00386C84"/>
    <w:rsid w:val="0039046F"/>
    <w:rsid w:val="00391801"/>
    <w:rsid w:val="003921BC"/>
    <w:rsid w:val="00394378"/>
    <w:rsid w:val="003A1A83"/>
    <w:rsid w:val="003A265E"/>
    <w:rsid w:val="003A2E0E"/>
    <w:rsid w:val="003A37D0"/>
    <w:rsid w:val="003A5DEF"/>
    <w:rsid w:val="003A6BFA"/>
    <w:rsid w:val="003B0275"/>
    <w:rsid w:val="003B0EDD"/>
    <w:rsid w:val="003B4F43"/>
    <w:rsid w:val="003B54DC"/>
    <w:rsid w:val="003B5AF4"/>
    <w:rsid w:val="003C22CE"/>
    <w:rsid w:val="003C4CF6"/>
    <w:rsid w:val="003C4EA7"/>
    <w:rsid w:val="003C4F91"/>
    <w:rsid w:val="003E194F"/>
    <w:rsid w:val="003F5A40"/>
    <w:rsid w:val="0040362F"/>
    <w:rsid w:val="00403EE5"/>
    <w:rsid w:val="0040524D"/>
    <w:rsid w:val="0040704E"/>
    <w:rsid w:val="00410406"/>
    <w:rsid w:val="00413C7A"/>
    <w:rsid w:val="00414EE5"/>
    <w:rsid w:val="004210D3"/>
    <w:rsid w:val="00421272"/>
    <w:rsid w:val="004236EC"/>
    <w:rsid w:val="0042767D"/>
    <w:rsid w:val="00430D08"/>
    <w:rsid w:val="00437C1F"/>
    <w:rsid w:val="00437D34"/>
    <w:rsid w:val="00446757"/>
    <w:rsid w:val="00447B30"/>
    <w:rsid w:val="00452A0B"/>
    <w:rsid w:val="00454853"/>
    <w:rsid w:val="00455480"/>
    <w:rsid w:val="0045549D"/>
    <w:rsid w:val="004556A4"/>
    <w:rsid w:val="00455B9F"/>
    <w:rsid w:val="00461D36"/>
    <w:rsid w:val="00463CC6"/>
    <w:rsid w:val="00463F5B"/>
    <w:rsid w:val="004662C9"/>
    <w:rsid w:val="00470206"/>
    <w:rsid w:val="004703CA"/>
    <w:rsid w:val="004724FE"/>
    <w:rsid w:val="00481692"/>
    <w:rsid w:val="00484A8B"/>
    <w:rsid w:val="00490152"/>
    <w:rsid w:val="0049271E"/>
    <w:rsid w:val="00492E8D"/>
    <w:rsid w:val="00495C5B"/>
    <w:rsid w:val="0049741A"/>
    <w:rsid w:val="004A0B73"/>
    <w:rsid w:val="004A3B48"/>
    <w:rsid w:val="004A6240"/>
    <w:rsid w:val="004B37CB"/>
    <w:rsid w:val="004B7056"/>
    <w:rsid w:val="004B7567"/>
    <w:rsid w:val="004B7FCF"/>
    <w:rsid w:val="004C3B0F"/>
    <w:rsid w:val="004D026F"/>
    <w:rsid w:val="004D3013"/>
    <w:rsid w:val="004D5BD4"/>
    <w:rsid w:val="004D64D9"/>
    <w:rsid w:val="004D6794"/>
    <w:rsid w:val="004E377F"/>
    <w:rsid w:val="004E5206"/>
    <w:rsid w:val="004E7EF1"/>
    <w:rsid w:val="004F4B61"/>
    <w:rsid w:val="004F4EE1"/>
    <w:rsid w:val="004F5F67"/>
    <w:rsid w:val="004F7321"/>
    <w:rsid w:val="0050187F"/>
    <w:rsid w:val="00502CAA"/>
    <w:rsid w:val="0051107D"/>
    <w:rsid w:val="00511CFF"/>
    <w:rsid w:val="00511D4D"/>
    <w:rsid w:val="00511DE1"/>
    <w:rsid w:val="00512F59"/>
    <w:rsid w:val="0051674E"/>
    <w:rsid w:val="00517473"/>
    <w:rsid w:val="00517E38"/>
    <w:rsid w:val="00526C1E"/>
    <w:rsid w:val="005272B0"/>
    <w:rsid w:val="00527771"/>
    <w:rsid w:val="005310BE"/>
    <w:rsid w:val="00531936"/>
    <w:rsid w:val="005356E2"/>
    <w:rsid w:val="00535932"/>
    <w:rsid w:val="00537100"/>
    <w:rsid w:val="005373BE"/>
    <w:rsid w:val="00537F48"/>
    <w:rsid w:val="00540803"/>
    <w:rsid w:val="00550863"/>
    <w:rsid w:val="0055128B"/>
    <w:rsid w:val="0055273A"/>
    <w:rsid w:val="00556221"/>
    <w:rsid w:val="0056049C"/>
    <w:rsid w:val="005636D4"/>
    <w:rsid w:val="00564F40"/>
    <w:rsid w:val="00564FFD"/>
    <w:rsid w:val="00567270"/>
    <w:rsid w:val="00570995"/>
    <w:rsid w:val="00570F3B"/>
    <w:rsid w:val="00572FD8"/>
    <w:rsid w:val="00573ABD"/>
    <w:rsid w:val="005742E3"/>
    <w:rsid w:val="005761D5"/>
    <w:rsid w:val="00576EF8"/>
    <w:rsid w:val="0057763E"/>
    <w:rsid w:val="005800EB"/>
    <w:rsid w:val="0058269A"/>
    <w:rsid w:val="00583D4C"/>
    <w:rsid w:val="00584067"/>
    <w:rsid w:val="00584F67"/>
    <w:rsid w:val="0059194C"/>
    <w:rsid w:val="0059206E"/>
    <w:rsid w:val="00592E87"/>
    <w:rsid w:val="00596686"/>
    <w:rsid w:val="00597713"/>
    <w:rsid w:val="005A1212"/>
    <w:rsid w:val="005A386C"/>
    <w:rsid w:val="005A47B5"/>
    <w:rsid w:val="005A5F3B"/>
    <w:rsid w:val="005A7AC7"/>
    <w:rsid w:val="005B0055"/>
    <w:rsid w:val="005B4754"/>
    <w:rsid w:val="005C0B5D"/>
    <w:rsid w:val="005C3DFA"/>
    <w:rsid w:val="005D08E1"/>
    <w:rsid w:val="005D702D"/>
    <w:rsid w:val="005E2AEB"/>
    <w:rsid w:val="005E4BBF"/>
    <w:rsid w:val="005E5E3F"/>
    <w:rsid w:val="005E710B"/>
    <w:rsid w:val="005E7E8C"/>
    <w:rsid w:val="005F091F"/>
    <w:rsid w:val="005F15E8"/>
    <w:rsid w:val="005F7B02"/>
    <w:rsid w:val="005F7D3E"/>
    <w:rsid w:val="00604533"/>
    <w:rsid w:val="006108D5"/>
    <w:rsid w:val="00611D04"/>
    <w:rsid w:val="006462FE"/>
    <w:rsid w:val="006512EF"/>
    <w:rsid w:val="00652D88"/>
    <w:rsid w:val="00654B22"/>
    <w:rsid w:val="00655FE4"/>
    <w:rsid w:val="00661BB8"/>
    <w:rsid w:val="00661C44"/>
    <w:rsid w:val="00661FD5"/>
    <w:rsid w:val="00667FF0"/>
    <w:rsid w:val="006759DD"/>
    <w:rsid w:val="00676310"/>
    <w:rsid w:val="00677068"/>
    <w:rsid w:val="006816F5"/>
    <w:rsid w:val="00682F8A"/>
    <w:rsid w:val="00684DF5"/>
    <w:rsid w:val="00686444"/>
    <w:rsid w:val="00686DA5"/>
    <w:rsid w:val="00686FCA"/>
    <w:rsid w:val="006A0121"/>
    <w:rsid w:val="006A2073"/>
    <w:rsid w:val="006B4EDF"/>
    <w:rsid w:val="006B533C"/>
    <w:rsid w:val="006C4487"/>
    <w:rsid w:val="006C6831"/>
    <w:rsid w:val="006C79D6"/>
    <w:rsid w:val="006D6DC2"/>
    <w:rsid w:val="006E3D05"/>
    <w:rsid w:val="006E3E0C"/>
    <w:rsid w:val="006E5EF7"/>
    <w:rsid w:val="006F5A5D"/>
    <w:rsid w:val="006F772B"/>
    <w:rsid w:val="00702028"/>
    <w:rsid w:val="007030EF"/>
    <w:rsid w:val="00710388"/>
    <w:rsid w:val="007131DE"/>
    <w:rsid w:val="00713E28"/>
    <w:rsid w:val="00715264"/>
    <w:rsid w:val="007166FF"/>
    <w:rsid w:val="007171D0"/>
    <w:rsid w:val="0071797E"/>
    <w:rsid w:val="00721389"/>
    <w:rsid w:val="00724117"/>
    <w:rsid w:val="00725353"/>
    <w:rsid w:val="00727672"/>
    <w:rsid w:val="007336DC"/>
    <w:rsid w:val="00736A90"/>
    <w:rsid w:val="00743566"/>
    <w:rsid w:val="00746CC9"/>
    <w:rsid w:val="00750F56"/>
    <w:rsid w:val="00753469"/>
    <w:rsid w:val="007553B8"/>
    <w:rsid w:val="00757445"/>
    <w:rsid w:val="00761288"/>
    <w:rsid w:val="00762B4F"/>
    <w:rsid w:val="00765B7D"/>
    <w:rsid w:val="00773D9F"/>
    <w:rsid w:val="00777A29"/>
    <w:rsid w:val="0078370C"/>
    <w:rsid w:val="00791AD8"/>
    <w:rsid w:val="00794720"/>
    <w:rsid w:val="00797BEC"/>
    <w:rsid w:val="007A4B55"/>
    <w:rsid w:val="007B3C36"/>
    <w:rsid w:val="007B3DD2"/>
    <w:rsid w:val="007B51DC"/>
    <w:rsid w:val="007B5607"/>
    <w:rsid w:val="007B7209"/>
    <w:rsid w:val="007C3BF9"/>
    <w:rsid w:val="007C6F4F"/>
    <w:rsid w:val="007C7665"/>
    <w:rsid w:val="007E089F"/>
    <w:rsid w:val="007E2047"/>
    <w:rsid w:val="007E6514"/>
    <w:rsid w:val="007F0CCA"/>
    <w:rsid w:val="007F144B"/>
    <w:rsid w:val="007F25D1"/>
    <w:rsid w:val="007F2CE9"/>
    <w:rsid w:val="007F658C"/>
    <w:rsid w:val="007F7148"/>
    <w:rsid w:val="007F7E5F"/>
    <w:rsid w:val="00805672"/>
    <w:rsid w:val="00810418"/>
    <w:rsid w:val="008105D2"/>
    <w:rsid w:val="00815004"/>
    <w:rsid w:val="008167CE"/>
    <w:rsid w:val="00817305"/>
    <w:rsid w:val="00823038"/>
    <w:rsid w:val="008268C9"/>
    <w:rsid w:val="0082699A"/>
    <w:rsid w:val="008308FF"/>
    <w:rsid w:val="0083109D"/>
    <w:rsid w:val="00831450"/>
    <w:rsid w:val="0083215A"/>
    <w:rsid w:val="00832B47"/>
    <w:rsid w:val="00833293"/>
    <w:rsid w:val="00833FBB"/>
    <w:rsid w:val="0083507C"/>
    <w:rsid w:val="0084095D"/>
    <w:rsid w:val="00841EB4"/>
    <w:rsid w:val="0084345D"/>
    <w:rsid w:val="00844F8B"/>
    <w:rsid w:val="0084788F"/>
    <w:rsid w:val="008502AA"/>
    <w:rsid w:val="00854505"/>
    <w:rsid w:val="0085477C"/>
    <w:rsid w:val="0086033C"/>
    <w:rsid w:val="00862449"/>
    <w:rsid w:val="0086492B"/>
    <w:rsid w:val="00867A3E"/>
    <w:rsid w:val="008729B0"/>
    <w:rsid w:val="00884B15"/>
    <w:rsid w:val="0088523F"/>
    <w:rsid w:val="00885E5C"/>
    <w:rsid w:val="00894DBB"/>
    <w:rsid w:val="008953F8"/>
    <w:rsid w:val="00895810"/>
    <w:rsid w:val="008A47B8"/>
    <w:rsid w:val="008A5881"/>
    <w:rsid w:val="008B1649"/>
    <w:rsid w:val="008B3E15"/>
    <w:rsid w:val="008B461D"/>
    <w:rsid w:val="008B6AA5"/>
    <w:rsid w:val="008C0670"/>
    <w:rsid w:val="008D0028"/>
    <w:rsid w:val="008D0541"/>
    <w:rsid w:val="008D5DCC"/>
    <w:rsid w:val="008E4C4D"/>
    <w:rsid w:val="008E6F6B"/>
    <w:rsid w:val="008E793F"/>
    <w:rsid w:val="008F33C8"/>
    <w:rsid w:val="008F3AA2"/>
    <w:rsid w:val="009068E0"/>
    <w:rsid w:val="009109FC"/>
    <w:rsid w:val="009124C3"/>
    <w:rsid w:val="00913DF3"/>
    <w:rsid w:val="00915804"/>
    <w:rsid w:val="00916F5A"/>
    <w:rsid w:val="00917E14"/>
    <w:rsid w:val="00920FBF"/>
    <w:rsid w:val="00923AF6"/>
    <w:rsid w:val="009342D3"/>
    <w:rsid w:val="00935343"/>
    <w:rsid w:val="00937CAB"/>
    <w:rsid w:val="00941BD4"/>
    <w:rsid w:val="0094386A"/>
    <w:rsid w:val="00946767"/>
    <w:rsid w:val="00946832"/>
    <w:rsid w:val="0095188C"/>
    <w:rsid w:val="00954114"/>
    <w:rsid w:val="00954ED2"/>
    <w:rsid w:val="009552BC"/>
    <w:rsid w:val="00956A2E"/>
    <w:rsid w:val="00960D0D"/>
    <w:rsid w:val="00963E45"/>
    <w:rsid w:val="00964B19"/>
    <w:rsid w:val="0096772B"/>
    <w:rsid w:val="00970169"/>
    <w:rsid w:val="009773B6"/>
    <w:rsid w:val="00977F7A"/>
    <w:rsid w:val="00980154"/>
    <w:rsid w:val="00983C49"/>
    <w:rsid w:val="0098578B"/>
    <w:rsid w:val="00986269"/>
    <w:rsid w:val="009863B7"/>
    <w:rsid w:val="009875E3"/>
    <w:rsid w:val="00990644"/>
    <w:rsid w:val="0099353D"/>
    <w:rsid w:val="00996243"/>
    <w:rsid w:val="009B2633"/>
    <w:rsid w:val="009B49D1"/>
    <w:rsid w:val="009B7BE1"/>
    <w:rsid w:val="009B7E58"/>
    <w:rsid w:val="009C308E"/>
    <w:rsid w:val="009C3AF1"/>
    <w:rsid w:val="009D023E"/>
    <w:rsid w:val="009D1FCF"/>
    <w:rsid w:val="009D23AE"/>
    <w:rsid w:val="009D40A7"/>
    <w:rsid w:val="009D4302"/>
    <w:rsid w:val="009D47B5"/>
    <w:rsid w:val="009E0DF0"/>
    <w:rsid w:val="009E256A"/>
    <w:rsid w:val="009E3053"/>
    <w:rsid w:val="009E5661"/>
    <w:rsid w:val="009E6114"/>
    <w:rsid w:val="009F0127"/>
    <w:rsid w:val="009F1A81"/>
    <w:rsid w:val="009F5428"/>
    <w:rsid w:val="00A02346"/>
    <w:rsid w:val="00A03923"/>
    <w:rsid w:val="00A04220"/>
    <w:rsid w:val="00A07295"/>
    <w:rsid w:val="00A106B3"/>
    <w:rsid w:val="00A123CC"/>
    <w:rsid w:val="00A13406"/>
    <w:rsid w:val="00A159BE"/>
    <w:rsid w:val="00A2074E"/>
    <w:rsid w:val="00A27E5C"/>
    <w:rsid w:val="00A300DC"/>
    <w:rsid w:val="00A3096E"/>
    <w:rsid w:val="00A31708"/>
    <w:rsid w:val="00A33939"/>
    <w:rsid w:val="00A41588"/>
    <w:rsid w:val="00A42EEC"/>
    <w:rsid w:val="00A46475"/>
    <w:rsid w:val="00A47270"/>
    <w:rsid w:val="00A47FD8"/>
    <w:rsid w:val="00A66116"/>
    <w:rsid w:val="00A67064"/>
    <w:rsid w:val="00A71542"/>
    <w:rsid w:val="00A815FE"/>
    <w:rsid w:val="00A84C63"/>
    <w:rsid w:val="00A86115"/>
    <w:rsid w:val="00A96C68"/>
    <w:rsid w:val="00AA03BB"/>
    <w:rsid w:val="00AA1F77"/>
    <w:rsid w:val="00AA2A45"/>
    <w:rsid w:val="00AA4581"/>
    <w:rsid w:val="00AA6806"/>
    <w:rsid w:val="00AB6211"/>
    <w:rsid w:val="00AB648F"/>
    <w:rsid w:val="00AC15C5"/>
    <w:rsid w:val="00AC56EB"/>
    <w:rsid w:val="00AC5C99"/>
    <w:rsid w:val="00AD273F"/>
    <w:rsid w:val="00AD333A"/>
    <w:rsid w:val="00AD3C4E"/>
    <w:rsid w:val="00AD3CEC"/>
    <w:rsid w:val="00AD506C"/>
    <w:rsid w:val="00AD5FA0"/>
    <w:rsid w:val="00AE0013"/>
    <w:rsid w:val="00AE1756"/>
    <w:rsid w:val="00AE52E1"/>
    <w:rsid w:val="00AF28FB"/>
    <w:rsid w:val="00AF6683"/>
    <w:rsid w:val="00B01CF3"/>
    <w:rsid w:val="00B0201E"/>
    <w:rsid w:val="00B0588C"/>
    <w:rsid w:val="00B06764"/>
    <w:rsid w:val="00B179C4"/>
    <w:rsid w:val="00B22708"/>
    <w:rsid w:val="00B24C8F"/>
    <w:rsid w:val="00B34BD9"/>
    <w:rsid w:val="00B36A25"/>
    <w:rsid w:val="00B43B28"/>
    <w:rsid w:val="00B44173"/>
    <w:rsid w:val="00B44B72"/>
    <w:rsid w:val="00B50CFE"/>
    <w:rsid w:val="00B60D3D"/>
    <w:rsid w:val="00B622E4"/>
    <w:rsid w:val="00B63A5C"/>
    <w:rsid w:val="00B663A5"/>
    <w:rsid w:val="00B672FD"/>
    <w:rsid w:val="00B7475C"/>
    <w:rsid w:val="00B762D0"/>
    <w:rsid w:val="00B81E9B"/>
    <w:rsid w:val="00B82FC7"/>
    <w:rsid w:val="00B841EB"/>
    <w:rsid w:val="00B8574D"/>
    <w:rsid w:val="00B85FC9"/>
    <w:rsid w:val="00B91AA3"/>
    <w:rsid w:val="00B91D4B"/>
    <w:rsid w:val="00B940DD"/>
    <w:rsid w:val="00B96E12"/>
    <w:rsid w:val="00BA2990"/>
    <w:rsid w:val="00BA2FD5"/>
    <w:rsid w:val="00BA473D"/>
    <w:rsid w:val="00BA7D8B"/>
    <w:rsid w:val="00BA7F67"/>
    <w:rsid w:val="00BB1CF8"/>
    <w:rsid w:val="00BB23E5"/>
    <w:rsid w:val="00BB4D1A"/>
    <w:rsid w:val="00BB5033"/>
    <w:rsid w:val="00BB6B12"/>
    <w:rsid w:val="00BC204A"/>
    <w:rsid w:val="00BC30B9"/>
    <w:rsid w:val="00BC4583"/>
    <w:rsid w:val="00BC576E"/>
    <w:rsid w:val="00BD22BF"/>
    <w:rsid w:val="00BD55C1"/>
    <w:rsid w:val="00BD64AE"/>
    <w:rsid w:val="00BD7361"/>
    <w:rsid w:val="00BE382E"/>
    <w:rsid w:val="00BE484E"/>
    <w:rsid w:val="00BF1941"/>
    <w:rsid w:val="00BF394D"/>
    <w:rsid w:val="00BF4AE6"/>
    <w:rsid w:val="00BF511F"/>
    <w:rsid w:val="00BF5953"/>
    <w:rsid w:val="00C023CA"/>
    <w:rsid w:val="00C02B5D"/>
    <w:rsid w:val="00C06F2F"/>
    <w:rsid w:val="00C07D00"/>
    <w:rsid w:val="00C11FA2"/>
    <w:rsid w:val="00C13007"/>
    <w:rsid w:val="00C21328"/>
    <w:rsid w:val="00C228CC"/>
    <w:rsid w:val="00C22F80"/>
    <w:rsid w:val="00C270E2"/>
    <w:rsid w:val="00C2720F"/>
    <w:rsid w:val="00C27905"/>
    <w:rsid w:val="00C3179B"/>
    <w:rsid w:val="00C318B4"/>
    <w:rsid w:val="00C354AD"/>
    <w:rsid w:val="00C40B45"/>
    <w:rsid w:val="00C4147E"/>
    <w:rsid w:val="00C47185"/>
    <w:rsid w:val="00C53597"/>
    <w:rsid w:val="00C548C7"/>
    <w:rsid w:val="00C565FB"/>
    <w:rsid w:val="00C57623"/>
    <w:rsid w:val="00C604F1"/>
    <w:rsid w:val="00C612D6"/>
    <w:rsid w:val="00C721B2"/>
    <w:rsid w:val="00C74D8A"/>
    <w:rsid w:val="00C75C21"/>
    <w:rsid w:val="00C802F5"/>
    <w:rsid w:val="00C82F6D"/>
    <w:rsid w:val="00C83E04"/>
    <w:rsid w:val="00C921DA"/>
    <w:rsid w:val="00C93027"/>
    <w:rsid w:val="00C96F23"/>
    <w:rsid w:val="00CA6F97"/>
    <w:rsid w:val="00CB5927"/>
    <w:rsid w:val="00CB5D8C"/>
    <w:rsid w:val="00CB6412"/>
    <w:rsid w:val="00CB6E0D"/>
    <w:rsid w:val="00CC1240"/>
    <w:rsid w:val="00CC2CA1"/>
    <w:rsid w:val="00CC3983"/>
    <w:rsid w:val="00CC6325"/>
    <w:rsid w:val="00CD08DC"/>
    <w:rsid w:val="00CD0E5C"/>
    <w:rsid w:val="00CD10F2"/>
    <w:rsid w:val="00CD41E6"/>
    <w:rsid w:val="00CD681D"/>
    <w:rsid w:val="00CD7BF0"/>
    <w:rsid w:val="00CE212B"/>
    <w:rsid w:val="00CF4A5B"/>
    <w:rsid w:val="00CF5830"/>
    <w:rsid w:val="00CF75EA"/>
    <w:rsid w:val="00D01136"/>
    <w:rsid w:val="00D01323"/>
    <w:rsid w:val="00D03B7D"/>
    <w:rsid w:val="00D07664"/>
    <w:rsid w:val="00D07E57"/>
    <w:rsid w:val="00D12979"/>
    <w:rsid w:val="00D17F26"/>
    <w:rsid w:val="00D21EBC"/>
    <w:rsid w:val="00D23626"/>
    <w:rsid w:val="00D266F5"/>
    <w:rsid w:val="00D27937"/>
    <w:rsid w:val="00D32C50"/>
    <w:rsid w:val="00D33F9F"/>
    <w:rsid w:val="00D3636C"/>
    <w:rsid w:val="00D36BD5"/>
    <w:rsid w:val="00D401FD"/>
    <w:rsid w:val="00D407C8"/>
    <w:rsid w:val="00D445C9"/>
    <w:rsid w:val="00D45DAB"/>
    <w:rsid w:val="00D45E37"/>
    <w:rsid w:val="00D47F2D"/>
    <w:rsid w:val="00D50B27"/>
    <w:rsid w:val="00D512A8"/>
    <w:rsid w:val="00D552C0"/>
    <w:rsid w:val="00D55350"/>
    <w:rsid w:val="00D5593C"/>
    <w:rsid w:val="00D5624C"/>
    <w:rsid w:val="00D57820"/>
    <w:rsid w:val="00D62571"/>
    <w:rsid w:val="00D63C4A"/>
    <w:rsid w:val="00D64624"/>
    <w:rsid w:val="00D66E63"/>
    <w:rsid w:val="00D71DBF"/>
    <w:rsid w:val="00D77F58"/>
    <w:rsid w:val="00D77F79"/>
    <w:rsid w:val="00D800C2"/>
    <w:rsid w:val="00D83D98"/>
    <w:rsid w:val="00D83EC6"/>
    <w:rsid w:val="00D85BBA"/>
    <w:rsid w:val="00D866A5"/>
    <w:rsid w:val="00D86C5B"/>
    <w:rsid w:val="00D94B8E"/>
    <w:rsid w:val="00D96715"/>
    <w:rsid w:val="00DA1F6C"/>
    <w:rsid w:val="00DA25F8"/>
    <w:rsid w:val="00DA2C61"/>
    <w:rsid w:val="00DA3778"/>
    <w:rsid w:val="00DA4CB5"/>
    <w:rsid w:val="00DA576F"/>
    <w:rsid w:val="00DA78FC"/>
    <w:rsid w:val="00DA7EFC"/>
    <w:rsid w:val="00DB69D2"/>
    <w:rsid w:val="00DB736B"/>
    <w:rsid w:val="00DC2AAE"/>
    <w:rsid w:val="00DC37DF"/>
    <w:rsid w:val="00DC3C2F"/>
    <w:rsid w:val="00DD4B46"/>
    <w:rsid w:val="00DD5F5F"/>
    <w:rsid w:val="00DD7EF2"/>
    <w:rsid w:val="00DE21B2"/>
    <w:rsid w:val="00DE28AE"/>
    <w:rsid w:val="00DE3307"/>
    <w:rsid w:val="00DE699F"/>
    <w:rsid w:val="00DF26BD"/>
    <w:rsid w:val="00DF391E"/>
    <w:rsid w:val="00DF508F"/>
    <w:rsid w:val="00E01BFB"/>
    <w:rsid w:val="00E02F75"/>
    <w:rsid w:val="00E069C1"/>
    <w:rsid w:val="00E076C5"/>
    <w:rsid w:val="00E109E7"/>
    <w:rsid w:val="00E1124F"/>
    <w:rsid w:val="00E140EE"/>
    <w:rsid w:val="00E14647"/>
    <w:rsid w:val="00E14783"/>
    <w:rsid w:val="00E152F0"/>
    <w:rsid w:val="00E2370D"/>
    <w:rsid w:val="00E27206"/>
    <w:rsid w:val="00E27561"/>
    <w:rsid w:val="00E30059"/>
    <w:rsid w:val="00E301D7"/>
    <w:rsid w:val="00E31562"/>
    <w:rsid w:val="00E324A9"/>
    <w:rsid w:val="00E3472C"/>
    <w:rsid w:val="00E37320"/>
    <w:rsid w:val="00E402CF"/>
    <w:rsid w:val="00E41EDA"/>
    <w:rsid w:val="00E42013"/>
    <w:rsid w:val="00E423A9"/>
    <w:rsid w:val="00E42ABF"/>
    <w:rsid w:val="00E47E12"/>
    <w:rsid w:val="00E516A1"/>
    <w:rsid w:val="00E52F73"/>
    <w:rsid w:val="00E54A11"/>
    <w:rsid w:val="00E603FA"/>
    <w:rsid w:val="00E62B7E"/>
    <w:rsid w:val="00E64D98"/>
    <w:rsid w:val="00E65590"/>
    <w:rsid w:val="00E70E75"/>
    <w:rsid w:val="00E71022"/>
    <w:rsid w:val="00E72013"/>
    <w:rsid w:val="00E82156"/>
    <w:rsid w:val="00E85FCF"/>
    <w:rsid w:val="00E902D7"/>
    <w:rsid w:val="00E93113"/>
    <w:rsid w:val="00E944C4"/>
    <w:rsid w:val="00E9638A"/>
    <w:rsid w:val="00EA142F"/>
    <w:rsid w:val="00EA359A"/>
    <w:rsid w:val="00EA3F93"/>
    <w:rsid w:val="00EB35B1"/>
    <w:rsid w:val="00EC360A"/>
    <w:rsid w:val="00EC5E96"/>
    <w:rsid w:val="00ED0A8F"/>
    <w:rsid w:val="00ED3A5A"/>
    <w:rsid w:val="00ED524B"/>
    <w:rsid w:val="00EE0A5A"/>
    <w:rsid w:val="00EE0DEE"/>
    <w:rsid w:val="00EE11BF"/>
    <w:rsid w:val="00EE6EB1"/>
    <w:rsid w:val="00EF0BC5"/>
    <w:rsid w:val="00EF1B53"/>
    <w:rsid w:val="00EF2FA2"/>
    <w:rsid w:val="00EF3AD9"/>
    <w:rsid w:val="00EF7D7C"/>
    <w:rsid w:val="00F044DA"/>
    <w:rsid w:val="00F04C09"/>
    <w:rsid w:val="00F1441E"/>
    <w:rsid w:val="00F166E2"/>
    <w:rsid w:val="00F171D3"/>
    <w:rsid w:val="00F17409"/>
    <w:rsid w:val="00F221DA"/>
    <w:rsid w:val="00F24C91"/>
    <w:rsid w:val="00F24DD4"/>
    <w:rsid w:val="00F26721"/>
    <w:rsid w:val="00F268CC"/>
    <w:rsid w:val="00F26A0C"/>
    <w:rsid w:val="00F34009"/>
    <w:rsid w:val="00F41027"/>
    <w:rsid w:val="00F43BF9"/>
    <w:rsid w:val="00F4438C"/>
    <w:rsid w:val="00F51390"/>
    <w:rsid w:val="00F526DC"/>
    <w:rsid w:val="00F54D3E"/>
    <w:rsid w:val="00F55869"/>
    <w:rsid w:val="00F55F3D"/>
    <w:rsid w:val="00F56618"/>
    <w:rsid w:val="00F576DA"/>
    <w:rsid w:val="00F5775D"/>
    <w:rsid w:val="00F616DA"/>
    <w:rsid w:val="00F62BB5"/>
    <w:rsid w:val="00F62ED3"/>
    <w:rsid w:val="00F705CB"/>
    <w:rsid w:val="00F706F1"/>
    <w:rsid w:val="00F71119"/>
    <w:rsid w:val="00F75CA6"/>
    <w:rsid w:val="00F80530"/>
    <w:rsid w:val="00F82638"/>
    <w:rsid w:val="00F858A6"/>
    <w:rsid w:val="00F87103"/>
    <w:rsid w:val="00F913AC"/>
    <w:rsid w:val="00F917E0"/>
    <w:rsid w:val="00F9284B"/>
    <w:rsid w:val="00F94A50"/>
    <w:rsid w:val="00F96448"/>
    <w:rsid w:val="00F97537"/>
    <w:rsid w:val="00FA024F"/>
    <w:rsid w:val="00FA0ABD"/>
    <w:rsid w:val="00FA1425"/>
    <w:rsid w:val="00FA1988"/>
    <w:rsid w:val="00FA20E3"/>
    <w:rsid w:val="00FA3EF6"/>
    <w:rsid w:val="00FA6A31"/>
    <w:rsid w:val="00FA7FFC"/>
    <w:rsid w:val="00FB107D"/>
    <w:rsid w:val="00FB72B6"/>
    <w:rsid w:val="00FC1AF3"/>
    <w:rsid w:val="00FC3395"/>
    <w:rsid w:val="00FC6B7D"/>
    <w:rsid w:val="00FD3F41"/>
    <w:rsid w:val="00FD72C4"/>
    <w:rsid w:val="00FE088E"/>
    <w:rsid w:val="00FE0B9C"/>
    <w:rsid w:val="00FE5676"/>
    <w:rsid w:val="00FF207E"/>
    <w:rsid w:val="00FF2F33"/>
    <w:rsid w:val="00FF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004170"/>
    </o:shapedefaults>
    <o:shapelayout v:ext="edit">
      <o:idmap v:ext="edit" data="1"/>
    </o:shapelayout>
  </w:shapeDefaults>
  <w:decimalSymbol w:val=","/>
  <w:listSeparator w:val=";"/>
  <w14:docId w14:val="73995C03"/>
  <w15:docId w15:val="{E80E81E3-6D0D-4593-9994-B5CC1E2C7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4E5206"/>
    <w:pPr>
      <w:widowControl w:val="0"/>
    </w:pPr>
    <w:rPr>
      <w:sz w:val="22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5C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72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character" w:styleId="Hipercze">
    <w:name w:val="Hyperlink"/>
    <w:uiPriority w:val="99"/>
    <w:unhideWhenUsed/>
    <w:rsid w:val="003B4F43"/>
    <w:rPr>
      <w:color w:val="0000FF"/>
      <w:u w:val="single"/>
    </w:rPr>
  </w:style>
  <w:style w:type="paragraph" w:styleId="Bezodstpw">
    <w:name w:val="No Spacing"/>
    <w:uiPriority w:val="1"/>
    <w:qFormat/>
    <w:rsid w:val="00791AD8"/>
    <w:pPr>
      <w:widowControl w:val="0"/>
    </w:pPr>
    <w:rPr>
      <w:sz w:val="22"/>
      <w:szCs w:val="22"/>
      <w:lang w:val="en-US" w:eastAsia="en-US"/>
    </w:rPr>
  </w:style>
  <w:style w:type="paragraph" w:customStyle="1" w:styleId="Default">
    <w:name w:val="Default"/>
    <w:rsid w:val="00EC5E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03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3FA"/>
    <w:rPr>
      <w:rFonts w:ascii="Tahoma" w:hAnsi="Tahoma" w:cs="Tahoma"/>
      <w:sz w:val="16"/>
      <w:szCs w:val="16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45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4533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4533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720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95C5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table" w:styleId="Tabela-Siatka">
    <w:name w:val="Table Grid"/>
    <w:basedOn w:val="Standardowy"/>
    <w:uiPriority w:val="59"/>
    <w:rsid w:val="00D55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D45D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A4B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B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4B88"/>
    <w:rPr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B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4B88"/>
    <w:rPr>
      <w:b/>
      <w:bCs/>
      <w:lang w:val="en-US" w:eastAsia="en-US"/>
    </w:rPr>
  </w:style>
  <w:style w:type="paragraph" w:styleId="Poprawka">
    <w:name w:val="Revision"/>
    <w:hidden/>
    <w:uiPriority w:val="99"/>
    <w:semiHidden/>
    <w:rsid w:val="004B37CB"/>
    <w:rPr>
      <w:sz w:val="22"/>
      <w:szCs w:val="22"/>
      <w:lang w:val="en-US"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C6F4F"/>
    <w:pPr>
      <w:widowControl/>
    </w:pPr>
    <w:rPr>
      <w:rFonts w:eastAsiaTheme="minorHAnsi" w:cstheme="minorBid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C6F4F"/>
    <w:rPr>
      <w:rFonts w:eastAsiaTheme="minorHAns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3113-1ED8-41F5-8AAF-9695D9912F3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2.xml><?xml version="1.0" encoding="utf-8"?>
<ds:datastoreItem xmlns:ds="http://schemas.openxmlformats.org/officeDocument/2006/customXml" ds:itemID="{30C31BBA-7701-4422-B62D-EE34F9CB32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4BE8C-A541-4A61-B3CB-B7DAE4010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8901DD-5458-473D-ADCF-F27B224A8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Anita Brunowicz</cp:lastModifiedBy>
  <cp:revision>2</cp:revision>
  <cp:lastPrinted>2026-09-28T07:26:00Z</cp:lastPrinted>
  <dcterms:created xsi:type="dcterms:W3CDTF">2026-09-28T07:26:00Z</dcterms:created>
  <dcterms:modified xsi:type="dcterms:W3CDTF">2026-09-28T07:26:00Z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  <property fmtid="{D5CDD505-2E9C-101B-9397-08002B2CF9AE}" pid="4" name="ContentTypeId">
    <vt:lpwstr>0x0101003D098027BC31EB45A64084565E206E85</vt:lpwstr>
  </property>
</Properties>
</file>