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5F528" w14:textId="7F39AFD0" w:rsidR="00D55350" w:rsidRPr="003310C2" w:rsidRDefault="00E37320" w:rsidP="00E37320">
      <w:pPr>
        <w:ind w:left="2880"/>
        <w:jc w:val="right"/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</w:pPr>
      <w:bookmarkStart w:id="0" w:name="_GoBack"/>
      <w:bookmarkEnd w:id="0"/>
      <w:r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 xml:space="preserve">                                                                  Załącznik nr 6</w:t>
      </w:r>
      <w:r w:rsidR="00B663A5" w:rsidRPr="003310C2"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ab/>
      </w:r>
      <w:r w:rsidR="00B663A5" w:rsidRPr="003310C2"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ab/>
      </w:r>
      <w:r w:rsidR="00B663A5" w:rsidRPr="003310C2"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ab/>
      </w:r>
    </w:p>
    <w:p w14:paraId="2A3514D8" w14:textId="77777777" w:rsidR="003358ED" w:rsidRPr="003310C2" w:rsidRDefault="003358ED" w:rsidP="00A67064">
      <w:pPr>
        <w:spacing w:line="360" w:lineRule="auto"/>
        <w:ind w:left="426"/>
        <w:jc w:val="center"/>
        <w:rPr>
          <w:rFonts w:asciiTheme="minorHAnsi" w:hAnsiTheme="minorHAnsi" w:cstheme="minorHAnsi"/>
          <w:b/>
          <w:iCs/>
          <w:color w:val="000000"/>
          <w:lang w:val="pl-PL" w:eastAsia="pl-PL"/>
        </w:rPr>
      </w:pPr>
    </w:p>
    <w:tbl>
      <w:tblPr>
        <w:tblStyle w:val="Tabela-Siatka"/>
        <w:tblW w:w="14708" w:type="dxa"/>
        <w:tblInd w:w="846" w:type="dxa"/>
        <w:tblLook w:val="04A0" w:firstRow="1" w:lastRow="0" w:firstColumn="1" w:lastColumn="0" w:noHBand="0" w:noVBand="1"/>
      </w:tblPr>
      <w:tblGrid>
        <w:gridCol w:w="553"/>
        <w:gridCol w:w="2236"/>
        <w:gridCol w:w="1247"/>
        <w:gridCol w:w="5408"/>
        <w:gridCol w:w="5264"/>
      </w:tblGrid>
      <w:tr w:rsidR="003310C2" w:rsidRPr="003310C2" w14:paraId="451C66E5" w14:textId="7296B0D4" w:rsidTr="00E37320">
        <w:tc>
          <w:tcPr>
            <w:tcW w:w="553" w:type="dxa"/>
          </w:tcPr>
          <w:p w14:paraId="516D624F" w14:textId="68B43513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Lp</w:t>
            </w:r>
            <w:r w:rsidR="00BA7F67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.</w:t>
            </w:r>
          </w:p>
        </w:tc>
        <w:tc>
          <w:tcPr>
            <w:tcW w:w="2236" w:type="dxa"/>
          </w:tcPr>
          <w:p w14:paraId="6C61413F" w14:textId="7CC87532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Urządzenia</w:t>
            </w:r>
          </w:p>
        </w:tc>
        <w:tc>
          <w:tcPr>
            <w:tcW w:w="1247" w:type="dxa"/>
          </w:tcPr>
          <w:p w14:paraId="6A10F1D7" w14:textId="7777777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ilość</w:t>
            </w:r>
          </w:p>
        </w:tc>
        <w:tc>
          <w:tcPr>
            <w:tcW w:w="5408" w:type="dxa"/>
          </w:tcPr>
          <w:p w14:paraId="271AAAEF" w14:textId="2E1BADEC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Wymagane parametry urządzenia</w:t>
            </w:r>
          </w:p>
        </w:tc>
        <w:tc>
          <w:tcPr>
            <w:tcW w:w="5264" w:type="dxa"/>
          </w:tcPr>
          <w:p w14:paraId="1A0A9C6B" w14:textId="73EF4395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Opis oferowanego urządzenia przez Wykonawcę</w:t>
            </w:r>
          </w:p>
        </w:tc>
      </w:tr>
      <w:tr w:rsidR="003310C2" w:rsidRPr="003310C2" w14:paraId="1A75963A" w14:textId="6F72D293" w:rsidTr="00E37320">
        <w:tc>
          <w:tcPr>
            <w:tcW w:w="553" w:type="dxa"/>
            <w:vAlign w:val="center"/>
          </w:tcPr>
          <w:p w14:paraId="34290F8F" w14:textId="3D2A00F6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1</w:t>
            </w:r>
          </w:p>
        </w:tc>
        <w:tc>
          <w:tcPr>
            <w:tcW w:w="2236" w:type="dxa"/>
            <w:vAlign w:val="center"/>
          </w:tcPr>
          <w:p w14:paraId="008A3F4E" w14:textId="4B74B38D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  <w:t>Centralny serwer rejestrujący</w:t>
            </w:r>
          </w:p>
        </w:tc>
        <w:tc>
          <w:tcPr>
            <w:tcW w:w="1247" w:type="dxa"/>
            <w:vAlign w:val="center"/>
          </w:tcPr>
          <w:p w14:paraId="52AB3248" w14:textId="4348B7D0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1 kpl</w:t>
            </w:r>
          </w:p>
        </w:tc>
        <w:tc>
          <w:tcPr>
            <w:tcW w:w="5408" w:type="dxa"/>
            <w:vAlign w:val="center"/>
          </w:tcPr>
          <w:p w14:paraId="6E290D63" w14:textId="222534A4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Urządzenie przeznaczone do pracy ciągłej jako serwer monitoringu i rejestrator kamer IP. Minimalne wymagania: wykonanie rack 19’’, min 2 zatoki SATA przeznaczone dla dysków HDD/SDD, pamięć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operacyjna typu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ECC, min 4 rdzeniowa platforma 64-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bit,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min 2 porty Gigabit Ethernet. Możliwość sprzętowej i programowej obsługi co najmniej 24 kamer IP, obsługa H.264 i H.265, obsługa kamer o rozdzielczości 4K, centralne zarządzanie kamerami, rejestracją, użytkownikami, uprawnieniami, podglądem, archiwum, AI: perymetryka /detekcja oraz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rozpoznawanie twarzy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>. Możliwość późniejszej rozbudowy pojemności pamięci masowej bez wymiany centralnego serwera.</w:t>
            </w:r>
          </w:p>
          <w:p w14:paraId="16E7DA38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Pamięć masowa – o pojemności min 16 TB przeznaczona do ciągłej pracy w systemie monitoringu. Zastosowane nośniki powinny pracować w systemie SATA, min 6 Gb/s.</w:t>
            </w:r>
          </w:p>
          <w:p w14:paraId="199594AE" w14:textId="0664FF5F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Serwer ma być wyposażony w zasilanie awaryjne min. UPS600.</w:t>
            </w:r>
          </w:p>
        </w:tc>
        <w:tc>
          <w:tcPr>
            <w:tcW w:w="5264" w:type="dxa"/>
          </w:tcPr>
          <w:p w14:paraId="23055248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2C0B7CE2" w14:textId="5178BD74" w:rsidTr="00E37320">
        <w:tc>
          <w:tcPr>
            <w:tcW w:w="553" w:type="dxa"/>
            <w:vAlign w:val="center"/>
          </w:tcPr>
          <w:p w14:paraId="66279DE8" w14:textId="6645159B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2</w:t>
            </w:r>
          </w:p>
        </w:tc>
        <w:tc>
          <w:tcPr>
            <w:tcW w:w="2236" w:type="dxa"/>
            <w:vAlign w:val="center"/>
          </w:tcPr>
          <w:p w14:paraId="18E1A939" w14:textId="7396A6D2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  <w:t>Infrastruktura sieciowa</w:t>
            </w:r>
          </w:p>
        </w:tc>
        <w:tc>
          <w:tcPr>
            <w:tcW w:w="1247" w:type="dxa"/>
            <w:vAlign w:val="center"/>
          </w:tcPr>
          <w:p w14:paraId="24259E51" w14:textId="1C7E0FD9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1 kpl</w:t>
            </w:r>
          </w:p>
        </w:tc>
        <w:tc>
          <w:tcPr>
            <w:tcW w:w="5408" w:type="dxa"/>
            <w:vAlign w:val="center"/>
          </w:tcPr>
          <w:p w14:paraId="52373C27" w14:textId="2947DF14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System należy oprzeć na zarządzalnych switchach Ethernet warstwy L2 (w ilości min 3 sztuki). Wymagane są urządzenia wyposażone w porty Gigabit Ethernet z PoE, porty uplink Gigabit Ethernet i/lub SFP, funkcje zarządzania warstwy L2, możliwość logicznej separacji ruchu CCTV, możliwość monitorowania poszczególnych portów i urządzeń.</w:t>
            </w:r>
          </w:p>
        </w:tc>
        <w:tc>
          <w:tcPr>
            <w:tcW w:w="5264" w:type="dxa"/>
          </w:tcPr>
          <w:p w14:paraId="2008DD90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19E82B39" w14:textId="219BC86E" w:rsidTr="00E37320">
        <w:tc>
          <w:tcPr>
            <w:tcW w:w="553" w:type="dxa"/>
            <w:vAlign w:val="center"/>
          </w:tcPr>
          <w:p w14:paraId="2C10FFB2" w14:textId="4D0EE002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3</w:t>
            </w:r>
          </w:p>
        </w:tc>
        <w:tc>
          <w:tcPr>
            <w:tcW w:w="2236" w:type="dxa"/>
            <w:vAlign w:val="center"/>
          </w:tcPr>
          <w:p w14:paraId="232E143A" w14:textId="6E2F491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eastAsia="Arial" w:hAnsiTheme="minorHAnsi" w:cstheme="minorHAns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Sieciowa Kamera IP z uchwytem do zastosowań morskich, offshore i przemysłowych </w:t>
            </w:r>
          </w:p>
        </w:tc>
        <w:tc>
          <w:tcPr>
            <w:tcW w:w="1247" w:type="dxa"/>
            <w:vAlign w:val="center"/>
          </w:tcPr>
          <w:p w14:paraId="39CAB044" w14:textId="0442FFF4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12 kpl</w:t>
            </w:r>
          </w:p>
        </w:tc>
        <w:tc>
          <w:tcPr>
            <w:tcW w:w="5408" w:type="dxa"/>
            <w:vAlign w:val="center"/>
          </w:tcPr>
          <w:p w14:paraId="632FDF48" w14:textId="1D7A566C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Przeznaczone do pracy na otwartych pokładach. Parametry: rozdzielczość min 6MP/4K możliwość pracy z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>szybkością do 30kl/s, kompresja H.265+, H.265, H.264; min 30 x powiększenie optyczne. Obsługa ONVIF i RTSP. Stopień ochrony min. IP68. Przednia szyba wykonana ze szkła hartowanego z powłoką hydrofobową i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antyrefleksyjną. Zakres temperatur pracy -30 stopni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C do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50 stopni C. Zasilanie PoE oraz możliwość zasilania 24V DC. 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lastRenderedPageBreak/>
              <w:t>Możliwość zastosowania obiektywu zmiennoogniskowego z automatycznym ustawieniem ostrości. Konstrukcja modułowa i serwisowalna umożliwiająca zmianę konfiguracji oraz późniejszą rozbudowę urządzenia. Fabryczny przewód przyłączeniowy o długości min 5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m,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umożliwiający umieszczenie punktu terminacji poza miejscem instalacji kamery. Powinny posiadać system ogrzewania przeciw kondensacyjnego i  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odszraniania przeznaczony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do ograniczenia kondensacji wilgoci i oblodzenia elementów kamery. Kamera powinna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posiadać funkcje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widzenia w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nocy oraz posiadać </w:t>
            </w:r>
            <w:r w:rsidRPr="003310C2">
              <w:rPr>
                <w:rFonts w:asciiTheme="minorHAnsi" w:hAnsiTheme="minorHAnsi" w:cstheme="minorHAnsi"/>
                <w:lang w:val="pl-PL"/>
              </w:rPr>
              <w:t>oświetlacz IR o zasięgu do min 50m.</w:t>
            </w:r>
          </w:p>
          <w:p w14:paraId="1E8E65D6" w14:textId="0B739C62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Materiał obudowy kamery:</w:t>
            </w:r>
          </w:p>
          <w:p w14:paraId="57E589B3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Stal nierdzewna AISI 316L klasy morskiej</w:t>
            </w:r>
          </w:p>
          <w:p w14:paraId="4C78162B" w14:textId="4B00492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Przednia szyba kamery:</w:t>
            </w:r>
          </w:p>
          <w:p w14:paraId="4487888D" w14:textId="2C1B9551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Szkło hartowane z powłoką hydrofobową i antyrefleksyjną</w:t>
            </w:r>
          </w:p>
          <w:p w14:paraId="2F2AD989" w14:textId="3E95BA7A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</w:p>
        </w:tc>
        <w:tc>
          <w:tcPr>
            <w:tcW w:w="5264" w:type="dxa"/>
          </w:tcPr>
          <w:p w14:paraId="7064F315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06D3AD07" w14:textId="62C76B8D" w:rsidTr="00E37320">
        <w:tc>
          <w:tcPr>
            <w:tcW w:w="553" w:type="dxa"/>
            <w:vAlign w:val="center"/>
          </w:tcPr>
          <w:p w14:paraId="1749312F" w14:textId="7CDACE85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4</w:t>
            </w:r>
          </w:p>
        </w:tc>
        <w:tc>
          <w:tcPr>
            <w:tcW w:w="2236" w:type="dxa"/>
            <w:vAlign w:val="center"/>
          </w:tcPr>
          <w:p w14:paraId="6DF08B79" w14:textId="41FDC111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eastAsia="Arial" w:hAnsiTheme="minorHAnsi" w:cstheme="minorHAns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Kamera IP </w:t>
            </w:r>
          </w:p>
        </w:tc>
        <w:tc>
          <w:tcPr>
            <w:tcW w:w="1247" w:type="dxa"/>
            <w:vAlign w:val="center"/>
          </w:tcPr>
          <w:p w14:paraId="40239206" w14:textId="627865C2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10 kpl</w:t>
            </w:r>
          </w:p>
        </w:tc>
        <w:tc>
          <w:tcPr>
            <w:tcW w:w="5408" w:type="dxa"/>
            <w:vAlign w:val="center"/>
          </w:tcPr>
          <w:p w14:paraId="7A8D2B40" w14:textId="4545B8E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>Przeznaczone do monitoringu pomieszczeń wewnętrznych jednostki. Wymagane parametry:</w:t>
            </w:r>
          </w:p>
          <w:p w14:paraId="2FA5CDC4" w14:textId="1ED2C644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 xml:space="preserve">Rozdzielczość min 4MP/4K, 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>możliwość pracy z szybkością do 30kl/s, kompresja H.265+, H.265, H.264; Przetwornik klasy min 1/2 .8” CMOS, Obsługa ONVIF i RTSP. Ethernet min. 100Mb/s, PoE IEEE 802.3af, Podświetlenie IR do 40m, Detekcja ruchu, Stopień ochrony min IP66, przednia szyba z powłoką antyrefleksyjną.</w:t>
            </w:r>
          </w:p>
        </w:tc>
        <w:tc>
          <w:tcPr>
            <w:tcW w:w="5264" w:type="dxa"/>
          </w:tcPr>
          <w:p w14:paraId="1775FA0F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bCs/>
                <w:lang w:val="pl-PL" w:eastAsia="pl-PL"/>
              </w:rPr>
            </w:pPr>
          </w:p>
        </w:tc>
      </w:tr>
      <w:tr w:rsidR="003310C2" w:rsidRPr="003310C2" w14:paraId="0D0AA36A" w14:textId="5950C47E" w:rsidTr="00E37320">
        <w:tc>
          <w:tcPr>
            <w:tcW w:w="553" w:type="dxa"/>
            <w:vAlign w:val="center"/>
          </w:tcPr>
          <w:p w14:paraId="7ACEE3FF" w14:textId="1BD744E1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5</w:t>
            </w:r>
          </w:p>
        </w:tc>
        <w:tc>
          <w:tcPr>
            <w:tcW w:w="2236" w:type="dxa"/>
            <w:vAlign w:val="center"/>
          </w:tcPr>
          <w:p w14:paraId="6E0DB9FA" w14:textId="7B3457AD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eastAsia="Arial" w:hAnsiTheme="minorHAnsi" w:cstheme="minorHAns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Centralna szafa teleinformatyczna </w:t>
            </w:r>
          </w:p>
        </w:tc>
        <w:tc>
          <w:tcPr>
            <w:tcW w:w="1247" w:type="dxa"/>
            <w:vAlign w:val="center"/>
          </w:tcPr>
          <w:p w14:paraId="1FA48DE7" w14:textId="0A447764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1 kpl</w:t>
            </w:r>
          </w:p>
        </w:tc>
        <w:tc>
          <w:tcPr>
            <w:tcW w:w="5408" w:type="dxa"/>
            <w:vAlign w:val="center"/>
          </w:tcPr>
          <w:p w14:paraId="06E4A7EB" w14:textId="7D198E96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Główne urządzenie systemu należy zabudować w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zamykanej szafie rack 19’’wysokości 16U i wymiarach 600x 600 mm. W szafie powinien znaleźć się centralny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serwer,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urządzenia sieciowe, patchpanele, UPS, listwa zasilająca, organizery kablowe, elementy prowadzenia przewodów oraz system wentylacji z termostatem. Szafa powinna posiadać odpowiednią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ilość miejsca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umożliwiającą późniejszą rozbudowę systemu,</w:t>
            </w:r>
          </w:p>
        </w:tc>
        <w:tc>
          <w:tcPr>
            <w:tcW w:w="5264" w:type="dxa"/>
          </w:tcPr>
          <w:p w14:paraId="0A8F0053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7A6F43F9" w14:textId="700B6EE1" w:rsidTr="00E37320">
        <w:trPr>
          <w:trHeight w:val="143"/>
        </w:trPr>
        <w:tc>
          <w:tcPr>
            <w:tcW w:w="553" w:type="dxa"/>
            <w:vAlign w:val="center"/>
          </w:tcPr>
          <w:p w14:paraId="4AF269E1" w14:textId="64D58999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6</w:t>
            </w:r>
          </w:p>
        </w:tc>
        <w:tc>
          <w:tcPr>
            <w:tcW w:w="2236" w:type="dxa"/>
            <w:vAlign w:val="center"/>
          </w:tcPr>
          <w:p w14:paraId="01A99CB5" w14:textId="5A2FD0C4" w:rsidR="003310C2" w:rsidRPr="003310C2" w:rsidRDefault="003310C2" w:rsidP="003310C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Lokalne stanowisko operatorskie na mostku </w:t>
            </w:r>
          </w:p>
          <w:p w14:paraId="50D4B36E" w14:textId="4A43BD6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lang w:val="pl-PL" w:eastAsia="pl-PL"/>
              </w:rPr>
            </w:pPr>
          </w:p>
        </w:tc>
        <w:tc>
          <w:tcPr>
            <w:tcW w:w="1247" w:type="dxa"/>
            <w:vAlign w:val="center"/>
          </w:tcPr>
          <w:p w14:paraId="0AF462DF" w14:textId="7768C77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lang w:val="pl-PL" w:eastAsia="pl-PL"/>
              </w:rPr>
              <w:t xml:space="preserve"> </w:t>
            </w: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1 kpl  </w:t>
            </w:r>
          </w:p>
        </w:tc>
        <w:tc>
          <w:tcPr>
            <w:tcW w:w="5408" w:type="dxa"/>
            <w:vAlign w:val="center"/>
          </w:tcPr>
          <w:p w14:paraId="46D1F7DA" w14:textId="4816B6B1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powinno być wyposażone w dedykowaną sprzętową jednostkę podglądu systemu, niewymagającą klasycznej stacji PC do bieżącej obsługi monitoringu.</w:t>
            </w:r>
          </w:p>
          <w:p w14:paraId="001E3DB7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lastRenderedPageBreak/>
              <w:t>Jednostka powinna posiadać:</w:t>
            </w:r>
          </w:p>
          <w:p w14:paraId="23324EF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Ethernet min. 1 Gb/s;</w:t>
            </w:r>
          </w:p>
          <w:p w14:paraId="5C0BA65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Wyjście HDMI;</w:t>
            </w:r>
          </w:p>
          <w:p w14:paraId="45F8DBE0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obsługę rozdzielczości wyjściowej do 3840 × 2160;</w:t>
            </w:r>
          </w:p>
          <w:p w14:paraId="771807C6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sprzętowe dekodowanie H.264 i H.265;</w:t>
            </w:r>
          </w:p>
          <w:p w14:paraId="6FEF2A3E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możliwość jednoczesnego wyświetlania min. 22 strumieni z wykorzystaniem strumieni pomocniczych;</w:t>
            </w:r>
          </w:p>
          <w:p w14:paraId="45347B58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dostęp do podglądu na żywo oraz materiału archiwalnego;</w:t>
            </w:r>
          </w:p>
          <w:p w14:paraId="096CAB53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obsługę funkcji PTZ, snapshot oraz logów systemowych.</w:t>
            </w:r>
          </w:p>
          <w:p w14:paraId="28F54627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należy wyposażyć w monitor o przekątnej min. 27", matrycę IPS lub równoważną oraz uchwyt umożliwiający trwały montaż monitora do sufitu.</w:t>
            </w:r>
          </w:p>
          <w:p w14:paraId="6491061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Obsługa stanowiska powinna odbywać się za pomocą przewodowej klawiatury ze zintegrowanym trackballem, bez konieczności stosowania oddzielnej myszy.</w:t>
            </w:r>
          </w:p>
          <w:p w14:paraId="5C81CBAB" w14:textId="64A560D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/>
                <w:bCs/>
                <w:lang w:val="pl-PL" w:eastAsia="pl-PL"/>
              </w:rPr>
            </w:pPr>
          </w:p>
        </w:tc>
        <w:tc>
          <w:tcPr>
            <w:tcW w:w="5264" w:type="dxa"/>
          </w:tcPr>
          <w:p w14:paraId="01A9B42A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3189040D" w14:textId="064FC963" w:rsidTr="00E37320">
        <w:trPr>
          <w:trHeight w:val="143"/>
        </w:trPr>
        <w:tc>
          <w:tcPr>
            <w:tcW w:w="553" w:type="dxa"/>
            <w:vAlign w:val="center"/>
          </w:tcPr>
          <w:p w14:paraId="4A6AFA48" w14:textId="309F0D41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7</w:t>
            </w:r>
          </w:p>
        </w:tc>
        <w:tc>
          <w:tcPr>
            <w:tcW w:w="2236" w:type="dxa"/>
            <w:vAlign w:val="center"/>
          </w:tcPr>
          <w:p w14:paraId="051082BD" w14:textId="26D6C33C" w:rsidR="003310C2" w:rsidRPr="003310C2" w:rsidRDefault="003310C2" w:rsidP="003310C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Lokalne stanowisko operatorskie w CMK </w:t>
            </w:r>
          </w:p>
        </w:tc>
        <w:tc>
          <w:tcPr>
            <w:tcW w:w="1247" w:type="dxa"/>
            <w:vAlign w:val="center"/>
          </w:tcPr>
          <w:p w14:paraId="65743352" w14:textId="5DF1D5A3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1 kpl</w:t>
            </w:r>
          </w:p>
        </w:tc>
        <w:tc>
          <w:tcPr>
            <w:tcW w:w="5408" w:type="dxa"/>
            <w:vAlign w:val="center"/>
          </w:tcPr>
          <w:p w14:paraId="35E1C681" w14:textId="32611D3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Wymagania analogiczne jak dla stanowiska na mostku, obejmujące dedykowaną jednostkę podglądu, monitor min. 27" zamontowany do sufitu oraz przewodową klawiaturę ze zintegrowanym trackballem.</w:t>
            </w:r>
          </w:p>
        </w:tc>
        <w:tc>
          <w:tcPr>
            <w:tcW w:w="5264" w:type="dxa"/>
          </w:tcPr>
          <w:p w14:paraId="3DED87B3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232BEDC4" w14:textId="2D68198F" w:rsidTr="00E37320">
        <w:tc>
          <w:tcPr>
            <w:tcW w:w="553" w:type="dxa"/>
            <w:vAlign w:val="center"/>
          </w:tcPr>
          <w:p w14:paraId="016556C0" w14:textId="674D4AFF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8</w:t>
            </w:r>
          </w:p>
        </w:tc>
        <w:tc>
          <w:tcPr>
            <w:tcW w:w="2236" w:type="dxa"/>
            <w:vAlign w:val="center"/>
          </w:tcPr>
          <w:p w14:paraId="27BDAACB" w14:textId="23F8DCB5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Zdalne stanowisko monitoring (biuro/Ląd) </w:t>
            </w:r>
          </w:p>
        </w:tc>
        <w:tc>
          <w:tcPr>
            <w:tcW w:w="1247" w:type="dxa"/>
            <w:vAlign w:val="center"/>
          </w:tcPr>
          <w:p w14:paraId="324DEA35" w14:textId="5663677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2 kpl </w:t>
            </w:r>
          </w:p>
        </w:tc>
        <w:tc>
          <w:tcPr>
            <w:tcW w:w="5408" w:type="dxa"/>
            <w:vAlign w:val="center"/>
          </w:tcPr>
          <w:p w14:paraId="4658B10C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System powinien umożliwiać zdalny dostęp do centralnego systemu z dedykowanego stanowiska operatorskiego zlokalizowanego poza jednostką.</w:t>
            </w:r>
          </w:p>
          <w:p w14:paraId="538CE39D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powinno obejmować dedykowaną jednostkę komputerową przeznaczoną do obsługi systemu, wyposażoną co najmniej w:</w:t>
            </w:r>
          </w:p>
          <w:p w14:paraId="5F04D819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min. 16 GB RAM;</w:t>
            </w:r>
          </w:p>
          <w:p w14:paraId="57E31DA8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min. 1 TB SSD;</w:t>
            </w:r>
          </w:p>
          <w:p w14:paraId="3EF5A96C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dedykowany układ graficzny ze sprzętowym dekodowaniem H.264/H.265;</w:t>
            </w:r>
          </w:p>
          <w:p w14:paraId="71716395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możliwość jednoczesnej obsługi min. dwóch niezależnych wyjść 4K;</w:t>
            </w:r>
          </w:p>
          <w:p w14:paraId="260632AF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przewodowy interfejs Ethernet min. 1 Gb/s.</w:t>
            </w:r>
          </w:p>
          <w:p w14:paraId="56D3183F" w14:textId="2ECF3CFF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Każde stanowisko należy wyposażyć monitor o przekątnej min. 55".</w:t>
            </w:r>
          </w:p>
          <w:p w14:paraId="7B561D52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 xml:space="preserve">Monitory powinny być przeznaczone do pracy ciągłej </w:t>
            </w:r>
            <w:r w:rsidRPr="003310C2">
              <w:rPr>
                <w:rFonts w:asciiTheme="minorHAnsi" w:hAnsiTheme="minorHAnsi" w:cstheme="minorHAnsi"/>
                <w:lang w:val="pl-PL"/>
              </w:rPr>
              <w:lastRenderedPageBreak/>
              <w:t>24/7/365 i zamontowane na systemie mocowania ściennego.</w:t>
            </w:r>
          </w:p>
          <w:p w14:paraId="721ED059" w14:textId="194D9AE8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powinno umożliwiać podgląd obrazu na żywo oraz dostęp do materiału archiwalnego zgodnie z uprawnieniami użytkownika.</w:t>
            </w:r>
          </w:p>
        </w:tc>
        <w:tc>
          <w:tcPr>
            <w:tcW w:w="5264" w:type="dxa"/>
          </w:tcPr>
          <w:p w14:paraId="0DA958BF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55D972ED" w14:textId="2B5EF099" w:rsidTr="00E37320">
        <w:tc>
          <w:tcPr>
            <w:tcW w:w="553" w:type="dxa"/>
            <w:vAlign w:val="center"/>
          </w:tcPr>
          <w:p w14:paraId="0621F1B3" w14:textId="121ACD42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9</w:t>
            </w:r>
          </w:p>
        </w:tc>
        <w:tc>
          <w:tcPr>
            <w:tcW w:w="2236" w:type="dxa"/>
            <w:vAlign w:val="center"/>
          </w:tcPr>
          <w:p w14:paraId="6649AF1A" w14:textId="77777777" w:rsidR="003310C2" w:rsidRPr="003310C2" w:rsidRDefault="003310C2" w:rsidP="003310C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A7F6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Zasilanie</w:t>
            </w: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BA7F6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gwarantowane</w:t>
            </w:r>
          </w:p>
          <w:p w14:paraId="5F421E84" w14:textId="7777777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14:paraId="06999A87" w14:textId="394AE01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1 kpl</w:t>
            </w:r>
          </w:p>
        </w:tc>
        <w:tc>
          <w:tcPr>
            <w:tcW w:w="5408" w:type="dxa"/>
            <w:vAlign w:val="center"/>
          </w:tcPr>
          <w:p w14:paraId="7D6411E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Wszystkie elementy systemu powinny zostać objęte zasilaniem gwarantowanym UPS.</w:t>
            </w:r>
          </w:p>
          <w:p w14:paraId="030F65BF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Centralny UPS powinien być urządzeniem typu online, przeznaczonym do zabudowy rack 19", o mocy min. 1500 VA i zapewniać podtrzymanie co najmniej centralnego serwera oraz aktywnych urządzeń sieciowych.</w:t>
            </w:r>
          </w:p>
          <w:p w14:paraId="4DC9E816" w14:textId="00BF0511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Lokalne stanowiska operatorskie oraz zdalne stanowisko monitoringu powinny posiadać niezależne zasilanie gwarantowane o parametrach odpowiednich dla zastosowanych urządzeń.</w:t>
            </w:r>
          </w:p>
        </w:tc>
        <w:tc>
          <w:tcPr>
            <w:tcW w:w="5264" w:type="dxa"/>
          </w:tcPr>
          <w:p w14:paraId="7440E7B0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0582526F" w14:textId="649C8281" w:rsidTr="00E37320">
        <w:tc>
          <w:tcPr>
            <w:tcW w:w="553" w:type="dxa"/>
            <w:vAlign w:val="center"/>
          </w:tcPr>
          <w:p w14:paraId="7A3019E1" w14:textId="6A41BB63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10</w:t>
            </w:r>
          </w:p>
        </w:tc>
        <w:tc>
          <w:tcPr>
            <w:tcW w:w="2236" w:type="dxa"/>
            <w:vAlign w:val="center"/>
          </w:tcPr>
          <w:p w14:paraId="225DD0C4" w14:textId="02252670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sz w:val="20"/>
                <w:szCs w:val="20"/>
                <w:lang w:val="pl-PL" w:eastAsia="pl-PL"/>
              </w:rPr>
              <w:t xml:space="preserve">Materiały podłączeniowe: </w:t>
            </w:r>
          </w:p>
        </w:tc>
        <w:tc>
          <w:tcPr>
            <w:tcW w:w="1247" w:type="dxa"/>
            <w:vAlign w:val="center"/>
          </w:tcPr>
          <w:p w14:paraId="041EA4C8" w14:textId="38ACD5D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1 komplet</w:t>
            </w:r>
          </w:p>
        </w:tc>
        <w:tc>
          <w:tcPr>
            <w:tcW w:w="5408" w:type="dxa"/>
            <w:vAlign w:val="center"/>
          </w:tcPr>
          <w:p w14:paraId="07AF890B" w14:textId="6496F0B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color w:val="FF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Należy zastosować patchpanele 19’’, min. Cat 6A o pojemności 24 portów każdy. Okablowanie kamer należy wykonać ekranowanym przewodem min. Cat 6A w wykonaniu przeznaczonym do zastosowań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morskich,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posiadającym odpowiednie dopuszczenie lub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certyfikacje morską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</w:t>
            </w:r>
            <w:r w:rsidRPr="003310C2">
              <w:rPr>
                <w:rFonts w:asciiTheme="minorHAnsi" w:hAnsiTheme="minorHAnsi" w:cstheme="minorHAnsi"/>
                <w:color w:val="000000" w:themeColor="text1"/>
                <w:lang w:val="pl-PL" w:eastAsia="pl-PL"/>
              </w:rPr>
              <w:t>(cert. tow. klasyfikacyjnego zrzeszonego w IACS</w:t>
            </w:r>
            <w:r w:rsidR="00BA7F67" w:rsidRPr="003310C2">
              <w:rPr>
                <w:rFonts w:asciiTheme="minorHAnsi" w:hAnsiTheme="minorHAnsi" w:cstheme="minorHAnsi"/>
                <w:color w:val="000000" w:themeColor="text1"/>
                <w:lang w:val="pl-PL" w:eastAsia="pl-PL"/>
              </w:rPr>
              <w:t>).</w:t>
            </w:r>
          </w:p>
          <w:p w14:paraId="53175D6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Wszystkie materiały podłączeniowe i instalacyjne należy uwzględnić w cenie między innymi:</w:t>
            </w:r>
          </w:p>
          <w:p w14:paraId="26A43B43" w14:textId="6E7A6651" w:rsidR="003310C2" w:rsidRPr="00BA7F67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>przedłużacze USB, pendrive min 128</w:t>
            </w:r>
            <w:r w:rsidR="00BA7F67" w:rsidRPr="003310C2">
              <w:rPr>
                <w:rFonts w:asciiTheme="minorHAnsi" w:hAnsiTheme="minorHAnsi" w:cstheme="minorHAnsi"/>
                <w:bCs/>
                <w:lang w:val="pl-PL" w:eastAsia="pl-PL"/>
              </w:rPr>
              <w:t>GB,</w:t>
            </w: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 xml:space="preserve"> Kabel UTP CAT 6A morski, opaski metalowe i plastikowe, certyfikowane przepusty kablowe, kable VGA i HDMI, puszki przyłączeniowe zewnętrzne i wewnętrzne.</w:t>
            </w:r>
          </w:p>
        </w:tc>
        <w:tc>
          <w:tcPr>
            <w:tcW w:w="5264" w:type="dxa"/>
          </w:tcPr>
          <w:p w14:paraId="63478E64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</w:tbl>
    <w:p w14:paraId="478FEE5D" w14:textId="393BFFFF" w:rsidR="00B622E4" w:rsidRPr="003310C2" w:rsidRDefault="00B622E4" w:rsidP="003310C2">
      <w:pPr>
        <w:pStyle w:val="Akapitzlist"/>
        <w:spacing w:line="360" w:lineRule="auto"/>
        <w:ind w:left="426"/>
        <w:jc w:val="both"/>
        <w:rPr>
          <w:rFonts w:asciiTheme="minorHAnsi" w:hAnsiTheme="minorHAnsi" w:cstheme="minorHAnsi"/>
          <w:lang w:val="pl-PL" w:eastAsia="pl-PL"/>
        </w:rPr>
      </w:pPr>
    </w:p>
    <w:p w14:paraId="6FD88C8A" w14:textId="5DF6EC7F" w:rsidR="00B622E4" w:rsidRPr="003310C2" w:rsidRDefault="00B622E4" w:rsidP="0031217F">
      <w:pPr>
        <w:spacing w:line="360" w:lineRule="auto"/>
        <w:rPr>
          <w:rFonts w:asciiTheme="minorHAnsi" w:hAnsiTheme="minorHAnsi" w:cstheme="minorHAnsi"/>
          <w:iCs/>
          <w:color w:val="000000"/>
          <w:sz w:val="24"/>
          <w:lang w:val="pl-PL" w:eastAsia="pl-PL"/>
        </w:rPr>
      </w:pPr>
    </w:p>
    <w:sectPr w:rsidR="00B622E4" w:rsidRPr="003310C2" w:rsidSect="003310C2">
      <w:headerReference w:type="default" r:id="rId11"/>
      <w:type w:val="continuous"/>
      <w:pgSz w:w="16840" w:h="11906" w:orient="landscape"/>
      <w:pgMar w:top="993" w:right="1843" w:bottom="849" w:left="142" w:header="568" w:footer="182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32547" w14:textId="77777777" w:rsidR="00576EF8" w:rsidRDefault="00576EF8" w:rsidP="0028332A">
      <w:r>
        <w:separator/>
      </w:r>
    </w:p>
  </w:endnote>
  <w:endnote w:type="continuationSeparator" w:id="0">
    <w:p w14:paraId="05E1A441" w14:textId="77777777" w:rsidR="00576EF8" w:rsidRDefault="00576EF8" w:rsidP="0028332A">
      <w:r>
        <w:continuationSeparator/>
      </w:r>
    </w:p>
  </w:endnote>
  <w:endnote w:type="continuationNotice" w:id="1">
    <w:p w14:paraId="576ED2B3" w14:textId="77777777" w:rsidR="00576EF8" w:rsidRDefault="00576E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80722" w14:textId="77777777" w:rsidR="00576EF8" w:rsidRDefault="00576EF8" w:rsidP="0028332A">
      <w:r>
        <w:separator/>
      </w:r>
    </w:p>
  </w:footnote>
  <w:footnote w:type="continuationSeparator" w:id="0">
    <w:p w14:paraId="5CFCF50F" w14:textId="77777777" w:rsidR="00576EF8" w:rsidRDefault="00576EF8" w:rsidP="0028332A">
      <w:r>
        <w:continuationSeparator/>
      </w:r>
    </w:p>
  </w:footnote>
  <w:footnote w:type="continuationNotice" w:id="1">
    <w:p w14:paraId="3FACCDAE" w14:textId="77777777" w:rsidR="00576EF8" w:rsidRDefault="00576E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4B152" w14:textId="77777777" w:rsidR="00E37320" w:rsidRDefault="003310C2" w:rsidP="00E37320">
    <w:pPr>
      <w:pStyle w:val="Nagwek"/>
      <w:ind w:left="3992" w:hanging="2552"/>
      <w:rPr>
        <w:lang w:val="pl-PL"/>
      </w:rPr>
    </w:pPr>
    <w:r w:rsidRPr="00BA7F67">
      <w:rPr>
        <w:lang w:val="pl-PL"/>
      </w:rPr>
      <w:t>Wykaz oferowanych urządzeń</w:t>
    </w:r>
  </w:p>
  <w:p w14:paraId="7161A9C8" w14:textId="09DBC6DF" w:rsidR="003310C2" w:rsidRPr="00BA7F67" w:rsidRDefault="00BA7F67" w:rsidP="00E37320">
    <w:pPr>
      <w:pStyle w:val="Nagwek"/>
      <w:ind w:left="3992" w:hanging="2552"/>
      <w:rPr>
        <w:rFonts w:asciiTheme="minorHAnsi" w:hAnsiTheme="minorHAnsi" w:cstheme="minorHAnsi"/>
        <w:i/>
        <w:szCs w:val="24"/>
        <w:lang w:val="pl-PL" w:eastAsia="pl-PL"/>
      </w:rPr>
    </w:pPr>
    <w:r w:rsidRPr="00BA7F67">
      <w:rPr>
        <w:rFonts w:asciiTheme="minorHAnsi" w:hAnsiTheme="minorHAnsi" w:cstheme="minorHAnsi"/>
        <w:i/>
        <w:sz w:val="20"/>
        <w:lang w:val="pl-PL"/>
      </w:rPr>
      <w:t>D</w:t>
    </w:r>
    <w:r w:rsidR="00E37320">
      <w:rPr>
        <w:rFonts w:asciiTheme="minorHAnsi" w:hAnsiTheme="minorHAnsi" w:cstheme="minorHAnsi"/>
        <w:i/>
        <w:sz w:val="20"/>
        <w:lang w:val="pl-PL"/>
      </w:rPr>
      <w:t>o</w:t>
    </w:r>
    <w:r w:rsidRPr="00BA7F67">
      <w:rPr>
        <w:rFonts w:asciiTheme="minorHAnsi" w:hAnsiTheme="minorHAnsi" w:cstheme="minorHAnsi"/>
        <w:i/>
        <w:sz w:val="20"/>
        <w:lang w:val="pl-PL"/>
      </w:rPr>
      <w:t>stawa systemu kamer i niezbędnej infrastruktury monitoringu wraz z instalacją na statku szkoleniowym Uniwersytetu Morskiego w Gdyni - Horyzont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3609E"/>
    <w:multiLevelType w:val="hybridMultilevel"/>
    <w:tmpl w:val="9E76BC7E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8820EAC"/>
    <w:multiLevelType w:val="hybridMultilevel"/>
    <w:tmpl w:val="2BA2422A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9065F48"/>
    <w:multiLevelType w:val="hybridMultilevel"/>
    <w:tmpl w:val="52FC1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674E5"/>
    <w:multiLevelType w:val="hybridMultilevel"/>
    <w:tmpl w:val="76306F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C40973"/>
    <w:multiLevelType w:val="hybridMultilevel"/>
    <w:tmpl w:val="97CE3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4187B"/>
    <w:multiLevelType w:val="hybridMultilevel"/>
    <w:tmpl w:val="5CD0EB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931B5"/>
    <w:multiLevelType w:val="hybridMultilevel"/>
    <w:tmpl w:val="0D56F2A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C7C01"/>
    <w:multiLevelType w:val="multilevel"/>
    <w:tmpl w:val="F23476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031D45"/>
    <w:multiLevelType w:val="hybridMultilevel"/>
    <w:tmpl w:val="267A80D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2491106"/>
    <w:multiLevelType w:val="hybridMultilevel"/>
    <w:tmpl w:val="DD302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952BD"/>
    <w:multiLevelType w:val="multilevel"/>
    <w:tmpl w:val="E166C1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4056113"/>
    <w:multiLevelType w:val="hybridMultilevel"/>
    <w:tmpl w:val="E398E00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2525A"/>
    <w:multiLevelType w:val="hybridMultilevel"/>
    <w:tmpl w:val="C748986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A1B62FF"/>
    <w:multiLevelType w:val="hybridMultilevel"/>
    <w:tmpl w:val="A7EED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35A06"/>
    <w:multiLevelType w:val="hybridMultilevel"/>
    <w:tmpl w:val="52A63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5170C"/>
    <w:multiLevelType w:val="hybridMultilevel"/>
    <w:tmpl w:val="D70A4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E6D2B"/>
    <w:multiLevelType w:val="hybridMultilevel"/>
    <w:tmpl w:val="BC1894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3346599"/>
    <w:multiLevelType w:val="multilevel"/>
    <w:tmpl w:val="E1F27E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B165033"/>
    <w:multiLevelType w:val="hybridMultilevel"/>
    <w:tmpl w:val="D58E5C50"/>
    <w:lvl w:ilvl="0" w:tplc="03366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9B15E7"/>
    <w:multiLevelType w:val="hybridMultilevel"/>
    <w:tmpl w:val="73EA6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D68E7"/>
    <w:multiLevelType w:val="hybridMultilevel"/>
    <w:tmpl w:val="70FAA9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E7B3A"/>
    <w:multiLevelType w:val="hybridMultilevel"/>
    <w:tmpl w:val="5CFE1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11118"/>
    <w:multiLevelType w:val="hybridMultilevel"/>
    <w:tmpl w:val="018CA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7E77CC"/>
    <w:multiLevelType w:val="hybridMultilevel"/>
    <w:tmpl w:val="4B127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0365C"/>
    <w:multiLevelType w:val="hybridMultilevel"/>
    <w:tmpl w:val="5CFC83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6F5829"/>
    <w:multiLevelType w:val="hybridMultilevel"/>
    <w:tmpl w:val="3152A3E6"/>
    <w:lvl w:ilvl="0" w:tplc="04150003">
      <w:start w:val="1"/>
      <w:numFmt w:val="bullet"/>
      <w:lvlText w:val="o"/>
      <w:lvlJc w:val="left"/>
      <w:pPr>
        <w:ind w:left="104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26" w15:restartNumberingAfterBreak="0">
    <w:nsid w:val="6AE5192F"/>
    <w:multiLevelType w:val="hybridMultilevel"/>
    <w:tmpl w:val="B9242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1776D9"/>
    <w:multiLevelType w:val="hybridMultilevel"/>
    <w:tmpl w:val="892AA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47332"/>
    <w:multiLevelType w:val="hybridMultilevel"/>
    <w:tmpl w:val="C380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B6E50"/>
    <w:multiLevelType w:val="hybridMultilevel"/>
    <w:tmpl w:val="729097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F40EA5"/>
    <w:multiLevelType w:val="hybridMultilevel"/>
    <w:tmpl w:val="FEEC2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7"/>
  </w:num>
  <w:num w:numId="5">
    <w:abstractNumId w:val="10"/>
  </w:num>
  <w:num w:numId="6">
    <w:abstractNumId w:val="13"/>
  </w:num>
  <w:num w:numId="7">
    <w:abstractNumId w:val="8"/>
  </w:num>
  <w:num w:numId="8">
    <w:abstractNumId w:val="12"/>
  </w:num>
  <w:num w:numId="9">
    <w:abstractNumId w:val="18"/>
  </w:num>
  <w:num w:numId="10">
    <w:abstractNumId w:val="30"/>
  </w:num>
  <w:num w:numId="11">
    <w:abstractNumId w:val="9"/>
  </w:num>
  <w:num w:numId="12">
    <w:abstractNumId w:val="2"/>
  </w:num>
  <w:num w:numId="13">
    <w:abstractNumId w:val="28"/>
  </w:num>
  <w:num w:numId="14">
    <w:abstractNumId w:val="11"/>
  </w:num>
  <w:num w:numId="15">
    <w:abstractNumId w:val="27"/>
  </w:num>
  <w:num w:numId="16">
    <w:abstractNumId w:val="23"/>
  </w:num>
  <w:num w:numId="17">
    <w:abstractNumId w:val="19"/>
  </w:num>
  <w:num w:numId="18">
    <w:abstractNumId w:val="6"/>
  </w:num>
  <w:num w:numId="19">
    <w:abstractNumId w:val="16"/>
  </w:num>
  <w:num w:numId="20">
    <w:abstractNumId w:val="26"/>
  </w:num>
  <w:num w:numId="21">
    <w:abstractNumId w:val="3"/>
  </w:num>
  <w:num w:numId="22">
    <w:abstractNumId w:val="20"/>
  </w:num>
  <w:num w:numId="23">
    <w:abstractNumId w:val="29"/>
  </w:num>
  <w:num w:numId="24">
    <w:abstractNumId w:val="0"/>
  </w:num>
  <w:num w:numId="25">
    <w:abstractNumId w:val="14"/>
  </w:num>
  <w:num w:numId="26">
    <w:abstractNumId w:val="22"/>
  </w:num>
  <w:num w:numId="27">
    <w:abstractNumId w:val="21"/>
  </w:num>
  <w:num w:numId="28">
    <w:abstractNumId w:val="4"/>
  </w:num>
  <w:num w:numId="29">
    <w:abstractNumId w:val="24"/>
  </w:num>
  <w:num w:numId="30">
    <w:abstractNumId w:val="25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004170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CDA"/>
    <w:rsid w:val="00005B16"/>
    <w:rsid w:val="0001028F"/>
    <w:rsid w:val="00013A0B"/>
    <w:rsid w:val="000152AB"/>
    <w:rsid w:val="00027F2B"/>
    <w:rsid w:val="00027FBE"/>
    <w:rsid w:val="000321D6"/>
    <w:rsid w:val="000327D8"/>
    <w:rsid w:val="00032CE6"/>
    <w:rsid w:val="00033408"/>
    <w:rsid w:val="00033661"/>
    <w:rsid w:val="00034597"/>
    <w:rsid w:val="00035BA1"/>
    <w:rsid w:val="00037F41"/>
    <w:rsid w:val="00043F7A"/>
    <w:rsid w:val="00052865"/>
    <w:rsid w:val="000530CB"/>
    <w:rsid w:val="00054ADC"/>
    <w:rsid w:val="00056F1B"/>
    <w:rsid w:val="00057FC5"/>
    <w:rsid w:val="00060F00"/>
    <w:rsid w:val="000717A5"/>
    <w:rsid w:val="00071D8D"/>
    <w:rsid w:val="000720A9"/>
    <w:rsid w:val="0007241E"/>
    <w:rsid w:val="00074A0C"/>
    <w:rsid w:val="0007617B"/>
    <w:rsid w:val="0008123D"/>
    <w:rsid w:val="00081BC8"/>
    <w:rsid w:val="00082E9C"/>
    <w:rsid w:val="000860C0"/>
    <w:rsid w:val="00095AD9"/>
    <w:rsid w:val="00096E60"/>
    <w:rsid w:val="000A1387"/>
    <w:rsid w:val="000A2D47"/>
    <w:rsid w:val="000A39CF"/>
    <w:rsid w:val="000A4B88"/>
    <w:rsid w:val="000A507A"/>
    <w:rsid w:val="000A52A2"/>
    <w:rsid w:val="000A7C30"/>
    <w:rsid w:val="000B16E1"/>
    <w:rsid w:val="000B18CF"/>
    <w:rsid w:val="000B25FD"/>
    <w:rsid w:val="000B267E"/>
    <w:rsid w:val="000B3A37"/>
    <w:rsid w:val="000B5905"/>
    <w:rsid w:val="000C1A6A"/>
    <w:rsid w:val="000C22CB"/>
    <w:rsid w:val="000C68A0"/>
    <w:rsid w:val="000D0919"/>
    <w:rsid w:val="000D326F"/>
    <w:rsid w:val="000D40F7"/>
    <w:rsid w:val="000D45D1"/>
    <w:rsid w:val="000D6366"/>
    <w:rsid w:val="000D6CD6"/>
    <w:rsid w:val="000D7091"/>
    <w:rsid w:val="000E189C"/>
    <w:rsid w:val="000F0C55"/>
    <w:rsid w:val="000F2293"/>
    <w:rsid w:val="00103590"/>
    <w:rsid w:val="00104D8F"/>
    <w:rsid w:val="00106C88"/>
    <w:rsid w:val="00107833"/>
    <w:rsid w:val="00110C09"/>
    <w:rsid w:val="001111EB"/>
    <w:rsid w:val="001143A4"/>
    <w:rsid w:val="001215E9"/>
    <w:rsid w:val="0012371E"/>
    <w:rsid w:val="001307C0"/>
    <w:rsid w:val="00131908"/>
    <w:rsid w:val="00135139"/>
    <w:rsid w:val="001353C7"/>
    <w:rsid w:val="00137B68"/>
    <w:rsid w:val="00137BD2"/>
    <w:rsid w:val="001404B2"/>
    <w:rsid w:val="00142556"/>
    <w:rsid w:val="00144695"/>
    <w:rsid w:val="00144955"/>
    <w:rsid w:val="0014638B"/>
    <w:rsid w:val="00146540"/>
    <w:rsid w:val="00147ED6"/>
    <w:rsid w:val="0015592C"/>
    <w:rsid w:val="00163491"/>
    <w:rsid w:val="00166997"/>
    <w:rsid w:val="00170053"/>
    <w:rsid w:val="00181153"/>
    <w:rsid w:val="00191E40"/>
    <w:rsid w:val="00191EAC"/>
    <w:rsid w:val="0019327A"/>
    <w:rsid w:val="001940A6"/>
    <w:rsid w:val="00196607"/>
    <w:rsid w:val="001A020A"/>
    <w:rsid w:val="001A0383"/>
    <w:rsid w:val="001A0B3D"/>
    <w:rsid w:val="001A150A"/>
    <w:rsid w:val="001A7276"/>
    <w:rsid w:val="001B2C16"/>
    <w:rsid w:val="001B538D"/>
    <w:rsid w:val="001C19A3"/>
    <w:rsid w:val="001C3C77"/>
    <w:rsid w:val="001C4D28"/>
    <w:rsid w:val="001D3023"/>
    <w:rsid w:val="001D4959"/>
    <w:rsid w:val="001D5B5F"/>
    <w:rsid w:val="001D5EF9"/>
    <w:rsid w:val="001E1F01"/>
    <w:rsid w:val="001E21AB"/>
    <w:rsid w:val="001E73A9"/>
    <w:rsid w:val="001F040F"/>
    <w:rsid w:val="001F15EC"/>
    <w:rsid w:val="001F6373"/>
    <w:rsid w:val="001F664A"/>
    <w:rsid w:val="00203FB6"/>
    <w:rsid w:val="00206806"/>
    <w:rsid w:val="00207909"/>
    <w:rsid w:val="00210FC5"/>
    <w:rsid w:val="00212ADE"/>
    <w:rsid w:val="0021720A"/>
    <w:rsid w:val="00217D48"/>
    <w:rsid w:val="002239BE"/>
    <w:rsid w:val="00226A5D"/>
    <w:rsid w:val="00227ABF"/>
    <w:rsid w:val="00231050"/>
    <w:rsid w:val="00232B55"/>
    <w:rsid w:val="00232FB6"/>
    <w:rsid w:val="00234105"/>
    <w:rsid w:val="002455D1"/>
    <w:rsid w:val="002507A0"/>
    <w:rsid w:val="002508BB"/>
    <w:rsid w:val="00251B17"/>
    <w:rsid w:val="00253F65"/>
    <w:rsid w:val="002555E1"/>
    <w:rsid w:val="00257C4D"/>
    <w:rsid w:val="00257F3F"/>
    <w:rsid w:val="00261B96"/>
    <w:rsid w:val="00264E66"/>
    <w:rsid w:val="0026661D"/>
    <w:rsid w:val="00266DCC"/>
    <w:rsid w:val="00273086"/>
    <w:rsid w:val="00276A02"/>
    <w:rsid w:val="00280542"/>
    <w:rsid w:val="0028332A"/>
    <w:rsid w:val="00285C61"/>
    <w:rsid w:val="00296B7C"/>
    <w:rsid w:val="002971B1"/>
    <w:rsid w:val="002A0D28"/>
    <w:rsid w:val="002A0FCF"/>
    <w:rsid w:val="002A21D2"/>
    <w:rsid w:val="002A5825"/>
    <w:rsid w:val="002A607A"/>
    <w:rsid w:val="002A7EF0"/>
    <w:rsid w:val="002A7EF9"/>
    <w:rsid w:val="002B436A"/>
    <w:rsid w:val="002B4793"/>
    <w:rsid w:val="002B543A"/>
    <w:rsid w:val="002C5EF1"/>
    <w:rsid w:val="002D00C4"/>
    <w:rsid w:val="002D0456"/>
    <w:rsid w:val="002D6865"/>
    <w:rsid w:val="002D6DF3"/>
    <w:rsid w:val="002D706E"/>
    <w:rsid w:val="002E4A0C"/>
    <w:rsid w:val="002E5FFA"/>
    <w:rsid w:val="002F34D3"/>
    <w:rsid w:val="00302642"/>
    <w:rsid w:val="003049BB"/>
    <w:rsid w:val="00307CFD"/>
    <w:rsid w:val="0031217F"/>
    <w:rsid w:val="003134AC"/>
    <w:rsid w:val="0031533D"/>
    <w:rsid w:val="00323DEA"/>
    <w:rsid w:val="003242C0"/>
    <w:rsid w:val="003310C2"/>
    <w:rsid w:val="003358ED"/>
    <w:rsid w:val="00345B31"/>
    <w:rsid w:val="00345DE0"/>
    <w:rsid w:val="00360D1E"/>
    <w:rsid w:val="00364608"/>
    <w:rsid w:val="0036796E"/>
    <w:rsid w:val="00372D6A"/>
    <w:rsid w:val="00374DDD"/>
    <w:rsid w:val="0037525B"/>
    <w:rsid w:val="00377B61"/>
    <w:rsid w:val="003840AD"/>
    <w:rsid w:val="003863D1"/>
    <w:rsid w:val="00386C84"/>
    <w:rsid w:val="0039046F"/>
    <w:rsid w:val="00391801"/>
    <w:rsid w:val="003921BC"/>
    <w:rsid w:val="00394378"/>
    <w:rsid w:val="003A1A83"/>
    <w:rsid w:val="003A265E"/>
    <w:rsid w:val="003A2E0E"/>
    <w:rsid w:val="003A37D0"/>
    <w:rsid w:val="003A5DEF"/>
    <w:rsid w:val="003A6BFA"/>
    <w:rsid w:val="003B0275"/>
    <w:rsid w:val="003B0EDD"/>
    <w:rsid w:val="003B4F43"/>
    <w:rsid w:val="003B54DC"/>
    <w:rsid w:val="003B5AF4"/>
    <w:rsid w:val="003C22CE"/>
    <w:rsid w:val="003C4CF6"/>
    <w:rsid w:val="003C4EA7"/>
    <w:rsid w:val="003C4F91"/>
    <w:rsid w:val="003E194F"/>
    <w:rsid w:val="003F5A40"/>
    <w:rsid w:val="0040362F"/>
    <w:rsid w:val="00403EE5"/>
    <w:rsid w:val="0040524D"/>
    <w:rsid w:val="0040704E"/>
    <w:rsid w:val="00410406"/>
    <w:rsid w:val="00413C7A"/>
    <w:rsid w:val="00414EE5"/>
    <w:rsid w:val="004210D3"/>
    <w:rsid w:val="00421272"/>
    <w:rsid w:val="004236EC"/>
    <w:rsid w:val="0042767D"/>
    <w:rsid w:val="00430D08"/>
    <w:rsid w:val="00437C1F"/>
    <w:rsid w:val="00437D34"/>
    <w:rsid w:val="00446757"/>
    <w:rsid w:val="00447B30"/>
    <w:rsid w:val="00452A0B"/>
    <w:rsid w:val="00454853"/>
    <w:rsid w:val="00455480"/>
    <w:rsid w:val="0045549D"/>
    <w:rsid w:val="004556A4"/>
    <w:rsid w:val="00455B9F"/>
    <w:rsid w:val="00461D36"/>
    <w:rsid w:val="00463CC6"/>
    <w:rsid w:val="00463F5B"/>
    <w:rsid w:val="004662C9"/>
    <w:rsid w:val="00470206"/>
    <w:rsid w:val="004703CA"/>
    <w:rsid w:val="004724FE"/>
    <w:rsid w:val="00481692"/>
    <w:rsid w:val="00484A8B"/>
    <w:rsid w:val="00490152"/>
    <w:rsid w:val="0049271E"/>
    <w:rsid w:val="00492E8D"/>
    <w:rsid w:val="00495C5B"/>
    <w:rsid w:val="0049741A"/>
    <w:rsid w:val="004A0B73"/>
    <w:rsid w:val="004A3B48"/>
    <w:rsid w:val="004A6240"/>
    <w:rsid w:val="004B37CB"/>
    <w:rsid w:val="004B7056"/>
    <w:rsid w:val="004B7567"/>
    <w:rsid w:val="004B7FCF"/>
    <w:rsid w:val="004C3B0F"/>
    <w:rsid w:val="004D026F"/>
    <w:rsid w:val="004D3013"/>
    <w:rsid w:val="004D5BD4"/>
    <w:rsid w:val="004D64D9"/>
    <w:rsid w:val="004D6794"/>
    <w:rsid w:val="004E377F"/>
    <w:rsid w:val="004E5206"/>
    <w:rsid w:val="004E7EF1"/>
    <w:rsid w:val="004F4B61"/>
    <w:rsid w:val="004F4EE1"/>
    <w:rsid w:val="004F5F67"/>
    <w:rsid w:val="004F7321"/>
    <w:rsid w:val="0050187F"/>
    <w:rsid w:val="00502CAA"/>
    <w:rsid w:val="0051107D"/>
    <w:rsid w:val="00511CFF"/>
    <w:rsid w:val="00511D4D"/>
    <w:rsid w:val="00511DE1"/>
    <w:rsid w:val="00512F59"/>
    <w:rsid w:val="0051674E"/>
    <w:rsid w:val="00517473"/>
    <w:rsid w:val="00517E38"/>
    <w:rsid w:val="00526C1E"/>
    <w:rsid w:val="005272B0"/>
    <w:rsid w:val="00527771"/>
    <w:rsid w:val="005310BE"/>
    <w:rsid w:val="00531936"/>
    <w:rsid w:val="005356E2"/>
    <w:rsid w:val="00535932"/>
    <w:rsid w:val="00537100"/>
    <w:rsid w:val="005373BE"/>
    <w:rsid w:val="00537F48"/>
    <w:rsid w:val="00540803"/>
    <w:rsid w:val="00550863"/>
    <w:rsid w:val="0055128B"/>
    <w:rsid w:val="0055273A"/>
    <w:rsid w:val="00556221"/>
    <w:rsid w:val="0056049C"/>
    <w:rsid w:val="005636D4"/>
    <w:rsid w:val="00564F40"/>
    <w:rsid w:val="00564FFD"/>
    <w:rsid w:val="00567270"/>
    <w:rsid w:val="00570995"/>
    <w:rsid w:val="00570F3B"/>
    <w:rsid w:val="00572FD8"/>
    <w:rsid w:val="00573ABD"/>
    <w:rsid w:val="005742E3"/>
    <w:rsid w:val="005761D5"/>
    <w:rsid w:val="00576EF8"/>
    <w:rsid w:val="0057763E"/>
    <w:rsid w:val="005800EB"/>
    <w:rsid w:val="0058269A"/>
    <w:rsid w:val="00583D4C"/>
    <w:rsid w:val="00584067"/>
    <w:rsid w:val="00584F67"/>
    <w:rsid w:val="0059194C"/>
    <w:rsid w:val="0059206E"/>
    <w:rsid w:val="00592E87"/>
    <w:rsid w:val="00596686"/>
    <w:rsid w:val="00597713"/>
    <w:rsid w:val="005A1212"/>
    <w:rsid w:val="005A386C"/>
    <w:rsid w:val="005A47B5"/>
    <w:rsid w:val="005A5F3B"/>
    <w:rsid w:val="005A7AC7"/>
    <w:rsid w:val="005B0055"/>
    <w:rsid w:val="005B4754"/>
    <w:rsid w:val="005C0B5D"/>
    <w:rsid w:val="005C3DFA"/>
    <w:rsid w:val="005D08E1"/>
    <w:rsid w:val="005D702D"/>
    <w:rsid w:val="005E2AEB"/>
    <w:rsid w:val="005E4BBF"/>
    <w:rsid w:val="005E5E3F"/>
    <w:rsid w:val="005E710B"/>
    <w:rsid w:val="005E7E8C"/>
    <w:rsid w:val="005F091F"/>
    <w:rsid w:val="005F15E8"/>
    <w:rsid w:val="005F7B02"/>
    <w:rsid w:val="005F7D3E"/>
    <w:rsid w:val="00604533"/>
    <w:rsid w:val="006108D5"/>
    <w:rsid w:val="00611D04"/>
    <w:rsid w:val="006462FE"/>
    <w:rsid w:val="006512EF"/>
    <w:rsid w:val="00652D88"/>
    <w:rsid w:val="00654B22"/>
    <w:rsid w:val="00655FE4"/>
    <w:rsid w:val="00661BB8"/>
    <w:rsid w:val="00661C44"/>
    <w:rsid w:val="00661FD5"/>
    <w:rsid w:val="00667FF0"/>
    <w:rsid w:val="006759DD"/>
    <w:rsid w:val="00676310"/>
    <w:rsid w:val="00677068"/>
    <w:rsid w:val="006816F5"/>
    <w:rsid w:val="00682F8A"/>
    <w:rsid w:val="00684DF5"/>
    <w:rsid w:val="00686444"/>
    <w:rsid w:val="00686DA5"/>
    <w:rsid w:val="00686FCA"/>
    <w:rsid w:val="006A0121"/>
    <w:rsid w:val="006A2073"/>
    <w:rsid w:val="006B4EDF"/>
    <w:rsid w:val="006B533C"/>
    <w:rsid w:val="006C4487"/>
    <w:rsid w:val="006C6831"/>
    <w:rsid w:val="006C79D6"/>
    <w:rsid w:val="006D6DC2"/>
    <w:rsid w:val="006E3D05"/>
    <w:rsid w:val="006E3E0C"/>
    <w:rsid w:val="006E5EF7"/>
    <w:rsid w:val="006F5A5D"/>
    <w:rsid w:val="006F772B"/>
    <w:rsid w:val="00702028"/>
    <w:rsid w:val="007030EF"/>
    <w:rsid w:val="00710388"/>
    <w:rsid w:val="007131DE"/>
    <w:rsid w:val="00713E28"/>
    <w:rsid w:val="00715264"/>
    <w:rsid w:val="007166FF"/>
    <w:rsid w:val="007171D0"/>
    <w:rsid w:val="0071797E"/>
    <w:rsid w:val="00721389"/>
    <w:rsid w:val="00724117"/>
    <w:rsid w:val="00725353"/>
    <w:rsid w:val="00727672"/>
    <w:rsid w:val="007336DC"/>
    <w:rsid w:val="00736A90"/>
    <w:rsid w:val="00743566"/>
    <w:rsid w:val="00746CC9"/>
    <w:rsid w:val="00750F56"/>
    <w:rsid w:val="00753469"/>
    <w:rsid w:val="007553B8"/>
    <w:rsid w:val="00757445"/>
    <w:rsid w:val="00761288"/>
    <w:rsid w:val="00762B4F"/>
    <w:rsid w:val="00765B7D"/>
    <w:rsid w:val="00773D9F"/>
    <w:rsid w:val="00777A29"/>
    <w:rsid w:val="0078370C"/>
    <w:rsid w:val="00791AD8"/>
    <w:rsid w:val="00794720"/>
    <w:rsid w:val="00797BEC"/>
    <w:rsid w:val="007A4B55"/>
    <w:rsid w:val="007B3C36"/>
    <w:rsid w:val="007B3DD2"/>
    <w:rsid w:val="007B51DC"/>
    <w:rsid w:val="007B5607"/>
    <w:rsid w:val="007B7209"/>
    <w:rsid w:val="007C3BF9"/>
    <w:rsid w:val="007C6F4F"/>
    <w:rsid w:val="007C7665"/>
    <w:rsid w:val="007E089F"/>
    <w:rsid w:val="007E2047"/>
    <w:rsid w:val="007E6514"/>
    <w:rsid w:val="007F0CCA"/>
    <w:rsid w:val="007F144B"/>
    <w:rsid w:val="007F25D1"/>
    <w:rsid w:val="007F2CE9"/>
    <w:rsid w:val="007F658C"/>
    <w:rsid w:val="007F7148"/>
    <w:rsid w:val="007F7E5F"/>
    <w:rsid w:val="00805672"/>
    <w:rsid w:val="00810418"/>
    <w:rsid w:val="008105D2"/>
    <w:rsid w:val="00815004"/>
    <w:rsid w:val="008167CE"/>
    <w:rsid w:val="00817305"/>
    <w:rsid w:val="00823038"/>
    <w:rsid w:val="008268C9"/>
    <w:rsid w:val="0082699A"/>
    <w:rsid w:val="008308FF"/>
    <w:rsid w:val="0083109D"/>
    <w:rsid w:val="00831450"/>
    <w:rsid w:val="0083215A"/>
    <w:rsid w:val="00832B47"/>
    <w:rsid w:val="00833293"/>
    <w:rsid w:val="00833FBB"/>
    <w:rsid w:val="0083507C"/>
    <w:rsid w:val="0084095D"/>
    <w:rsid w:val="00841EB4"/>
    <w:rsid w:val="0084345D"/>
    <w:rsid w:val="00844F8B"/>
    <w:rsid w:val="0084788F"/>
    <w:rsid w:val="008502AA"/>
    <w:rsid w:val="00854505"/>
    <w:rsid w:val="0085477C"/>
    <w:rsid w:val="0086033C"/>
    <w:rsid w:val="00862449"/>
    <w:rsid w:val="0086492B"/>
    <w:rsid w:val="00867A3E"/>
    <w:rsid w:val="008729B0"/>
    <w:rsid w:val="00884B15"/>
    <w:rsid w:val="0088523F"/>
    <w:rsid w:val="00885E5C"/>
    <w:rsid w:val="00894DBB"/>
    <w:rsid w:val="008953F8"/>
    <w:rsid w:val="00895810"/>
    <w:rsid w:val="008A47B8"/>
    <w:rsid w:val="008A5881"/>
    <w:rsid w:val="008B1649"/>
    <w:rsid w:val="008B3E15"/>
    <w:rsid w:val="008B461D"/>
    <w:rsid w:val="008B6AA5"/>
    <w:rsid w:val="008C0670"/>
    <w:rsid w:val="008D0028"/>
    <w:rsid w:val="008D0541"/>
    <w:rsid w:val="008D5DCC"/>
    <w:rsid w:val="008E4C4D"/>
    <w:rsid w:val="008E6F6B"/>
    <w:rsid w:val="008E793F"/>
    <w:rsid w:val="008F33C8"/>
    <w:rsid w:val="008F3AA2"/>
    <w:rsid w:val="009068E0"/>
    <w:rsid w:val="009109FC"/>
    <w:rsid w:val="009124C3"/>
    <w:rsid w:val="00913DF3"/>
    <w:rsid w:val="00915804"/>
    <w:rsid w:val="00916F5A"/>
    <w:rsid w:val="00917E14"/>
    <w:rsid w:val="00920FBF"/>
    <w:rsid w:val="00923AF6"/>
    <w:rsid w:val="009342D3"/>
    <w:rsid w:val="00935343"/>
    <w:rsid w:val="00937CAB"/>
    <w:rsid w:val="00941BD4"/>
    <w:rsid w:val="0094386A"/>
    <w:rsid w:val="00946767"/>
    <w:rsid w:val="00946832"/>
    <w:rsid w:val="0095188C"/>
    <w:rsid w:val="00954114"/>
    <w:rsid w:val="00954ED2"/>
    <w:rsid w:val="009552BC"/>
    <w:rsid w:val="00956A2E"/>
    <w:rsid w:val="00960D0D"/>
    <w:rsid w:val="00963E45"/>
    <w:rsid w:val="00964B19"/>
    <w:rsid w:val="0096772B"/>
    <w:rsid w:val="00970169"/>
    <w:rsid w:val="009773B6"/>
    <w:rsid w:val="00977F7A"/>
    <w:rsid w:val="00980154"/>
    <w:rsid w:val="00983C49"/>
    <w:rsid w:val="0098578B"/>
    <w:rsid w:val="00986269"/>
    <w:rsid w:val="009863B7"/>
    <w:rsid w:val="009875E3"/>
    <w:rsid w:val="00990644"/>
    <w:rsid w:val="0099353D"/>
    <w:rsid w:val="00996243"/>
    <w:rsid w:val="009B2633"/>
    <w:rsid w:val="009B49D1"/>
    <w:rsid w:val="009B7BE1"/>
    <w:rsid w:val="009B7E58"/>
    <w:rsid w:val="009C308E"/>
    <w:rsid w:val="009C3AF1"/>
    <w:rsid w:val="009D023E"/>
    <w:rsid w:val="009D1FCF"/>
    <w:rsid w:val="009D23AE"/>
    <w:rsid w:val="009D40A7"/>
    <w:rsid w:val="009D4302"/>
    <w:rsid w:val="009D47B5"/>
    <w:rsid w:val="009E0DF0"/>
    <w:rsid w:val="009E256A"/>
    <w:rsid w:val="009E3053"/>
    <w:rsid w:val="009E5661"/>
    <w:rsid w:val="009E6114"/>
    <w:rsid w:val="009F0127"/>
    <w:rsid w:val="009F1A81"/>
    <w:rsid w:val="009F5428"/>
    <w:rsid w:val="00A02346"/>
    <w:rsid w:val="00A03923"/>
    <w:rsid w:val="00A04220"/>
    <w:rsid w:val="00A07295"/>
    <w:rsid w:val="00A106B3"/>
    <w:rsid w:val="00A123CC"/>
    <w:rsid w:val="00A13406"/>
    <w:rsid w:val="00A159BE"/>
    <w:rsid w:val="00A2074E"/>
    <w:rsid w:val="00A27E5C"/>
    <w:rsid w:val="00A300DC"/>
    <w:rsid w:val="00A3096E"/>
    <w:rsid w:val="00A31708"/>
    <w:rsid w:val="00A33939"/>
    <w:rsid w:val="00A41588"/>
    <w:rsid w:val="00A42EEC"/>
    <w:rsid w:val="00A46475"/>
    <w:rsid w:val="00A47270"/>
    <w:rsid w:val="00A47FD8"/>
    <w:rsid w:val="00A66116"/>
    <w:rsid w:val="00A67064"/>
    <w:rsid w:val="00A71542"/>
    <w:rsid w:val="00A815FE"/>
    <w:rsid w:val="00A84C63"/>
    <w:rsid w:val="00A86115"/>
    <w:rsid w:val="00A96C68"/>
    <w:rsid w:val="00AA03BB"/>
    <w:rsid w:val="00AA1F77"/>
    <w:rsid w:val="00AA2A45"/>
    <w:rsid w:val="00AA4581"/>
    <w:rsid w:val="00AA6806"/>
    <w:rsid w:val="00AB6211"/>
    <w:rsid w:val="00AB648F"/>
    <w:rsid w:val="00AC15C5"/>
    <w:rsid w:val="00AC56EB"/>
    <w:rsid w:val="00AC5C99"/>
    <w:rsid w:val="00AD273F"/>
    <w:rsid w:val="00AD333A"/>
    <w:rsid w:val="00AD3C4E"/>
    <w:rsid w:val="00AD3CEC"/>
    <w:rsid w:val="00AD506C"/>
    <w:rsid w:val="00AD5FA0"/>
    <w:rsid w:val="00AE0013"/>
    <w:rsid w:val="00AE1756"/>
    <w:rsid w:val="00AE52E1"/>
    <w:rsid w:val="00AF28FB"/>
    <w:rsid w:val="00AF6683"/>
    <w:rsid w:val="00B01CF3"/>
    <w:rsid w:val="00B0201E"/>
    <w:rsid w:val="00B0588C"/>
    <w:rsid w:val="00B06764"/>
    <w:rsid w:val="00B179C4"/>
    <w:rsid w:val="00B22708"/>
    <w:rsid w:val="00B24C8F"/>
    <w:rsid w:val="00B34BD9"/>
    <w:rsid w:val="00B36A25"/>
    <w:rsid w:val="00B43B28"/>
    <w:rsid w:val="00B44173"/>
    <w:rsid w:val="00B44B72"/>
    <w:rsid w:val="00B50CFE"/>
    <w:rsid w:val="00B60D3D"/>
    <w:rsid w:val="00B622E4"/>
    <w:rsid w:val="00B63A5C"/>
    <w:rsid w:val="00B663A5"/>
    <w:rsid w:val="00B672FD"/>
    <w:rsid w:val="00B7475C"/>
    <w:rsid w:val="00B762D0"/>
    <w:rsid w:val="00B81E9B"/>
    <w:rsid w:val="00B82FC7"/>
    <w:rsid w:val="00B841EB"/>
    <w:rsid w:val="00B8574D"/>
    <w:rsid w:val="00B85FC9"/>
    <w:rsid w:val="00B91AA3"/>
    <w:rsid w:val="00B91D4B"/>
    <w:rsid w:val="00B940DD"/>
    <w:rsid w:val="00B96E12"/>
    <w:rsid w:val="00BA2990"/>
    <w:rsid w:val="00BA2FD5"/>
    <w:rsid w:val="00BA473D"/>
    <w:rsid w:val="00BA7D8B"/>
    <w:rsid w:val="00BA7F67"/>
    <w:rsid w:val="00BB1CF8"/>
    <w:rsid w:val="00BB23E5"/>
    <w:rsid w:val="00BB4D1A"/>
    <w:rsid w:val="00BB5033"/>
    <w:rsid w:val="00BB6B12"/>
    <w:rsid w:val="00BC204A"/>
    <w:rsid w:val="00BC30B9"/>
    <w:rsid w:val="00BC4583"/>
    <w:rsid w:val="00BC576E"/>
    <w:rsid w:val="00BD22BF"/>
    <w:rsid w:val="00BD55C1"/>
    <w:rsid w:val="00BD64AE"/>
    <w:rsid w:val="00BD7361"/>
    <w:rsid w:val="00BE382E"/>
    <w:rsid w:val="00BE484E"/>
    <w:rsid w:val="00BF1941"/>
    <w:rsid w:val="00BF394D"/>
    <w:rsid w:val="00BF4AE6"/>
    <w:rsid w:val="00BF511F"/>
    <w:rsid w:val="00BF5953"/>
    <w:rsid w:val="00C023CA"/>
    <w:rsid w:val="00C02B5D"/>
    <w:rsid w:val="00C06F2F"/>
    <w:rsid w:val="00C07D00"/>
    <w:rsid w:val="00C11FA2"/>
    <w:rsid w:val="00C13007"/>
    <w:rsid w:val="00C21328"/>
    <w:rsid w:val="00C228CC"/>
    <w:rsid w:val="00C22F80"/>
    <w:rsid w:val="00C270E2"/>
    <w:rsid w:val="00C2720F"/>
    <w:rsid w:val="00C27905"/>
    <w:rsid w:val="00C3179B"/>
    <w:rsid w:val="00C318B4"/>
    <w:rsid w:val="00C354AD"/>
    <w:rsid w:val="00C40B45"/>
    <w:rsid w:val="00C4147E"/>
    <w:rsid w:val="00C47185"/>
    <w:rsid w:val="00C53597"/>
    <w:rsid w:val="00C548C7"/>
    <w:rsid w:val="00C565FB"/>
    <w:rsid w:val="00C57623"/>
    <w:rsid w:val="00C604F1"/>
    <w:rsid w:val="00C612D6"/>
    <w:rsid w:val="00C721B2"/>
    <w:rsid w:val="00C74D8A"/>
    <w:rsid w:val="00C75C21"/>
    <w:rsid w:val="00C802F5"/>
    <w:rsid w:val="00C82F6D"/>
    <w:rsid w:val="00C83E04"/>
    <w:rsid w:val="00C921DA"/>
    <w:rsid w:val="00C93027"/>
    <w:rsid w:val="00C96F23"/>
    <w:rsid w:val="00CA6F97"/>
    <w:rsid w:val="00CB5927"/>
    <w:rsid w:val="00CB5D8C"/>
    <w:rsid w:val="00CB6412"/>
    <w:rsid w:val="00CB6E0D"/>
    <w:rsid w:val="00CC1240"/>
    <w:rsid w:val="00CC2CA1"/>
    <w:rsid w:val="00CC3983"/>
    <w:rsid w:val="00CC6325"/>
    <w:rsid w:val="00CD08DC"/>
    <w:rsid w:val="00CD0E5C"/>
    <w:rsid w:val="00CD10F2"/>
    <w:rsid w:val="00CD41E6"/>
    <w:rsid w:val="00CD681D"/>
    <w:rsid w:val="00CD7BF0"/>
    <w:rsid w:val="00CE212B"/>
    <w:rsid w:val="00CF4A5B"/>
    <w:rsid w:val="00CF5830"/>
    <w:rsid w:val="00CF75EA"/>
    <w:rsid w:val="00D01136"/>
    <w:rsid w:val="00D01323"/>
    <w:rsid w:val="00D03B7D"/>
    <w:rsid w:val="00D07664"/>
    <w:rsid w:val="00D07E57"/>
    <w:rsid w:val="00D12979"/>
    <w:rsid w:val="00D17F26"/>
    <w:rsid w:val="00D21EBC"/>
    <w:rsid w:val="00D23626"/>
    <w:rsid w:val="00D266F5"/>
    <w:rsid w:val="00D27937"/>
    <w:rsid w:val="00D32C50"/>
    <w:rsid w:val="00D33F9F"/>
    <w:rsid w:val="00D3636C"/>
    <w:rsid w:val="00D36BD5"/>
    <w:rsid w:val="00D401FD"/>
    <w:rsid w:val="00D407C8"/>
    <w:rsid w:val="00D445C9"/>
    <w:rsid w:val="00D45DAB"/>
    <w:rsid w:val="00D45E37"/>
    <w:rsid w:val="00D47F2D"/>
    <w:rsid w:val="00D50B27"/>
    <w:rsid w:val="00D512A8"/>
    <w:rsid w:val="00D552C0"/>
    <w:rsid w:val="00D55350"/>
    <w:rsid w:val="00D5593C"/>
    <w:rsid w:val="00D5624C"/>
    <w:rsid w:val="00D57820"/>
    <w:rsid w:val="00D62571"/>
    <w:rsid w:val="00D63C4A"/>
    <w:rsid w:val="00D64624"/>
    <w:rsid w:val="00D66E63"/>
    <w:rsid w:val="00D71DBF"/>
    <w:rsid w:val="00D77F58"/>
    <w:rsid w:val="00D77F79"/>
    <w:rsid w:val="00D800C2"/>
    <w:rsid w:val="00D83D98"/>
    <w:rsid w:val="00D83EC6"/>
    <w:rsid w:val="00D85BBA"/>
    <w:rsid w:val="00D866A5"/>
    <w:rsid w:val="00D86C5B"/>
    <w:rsid w:val="00D94B8E"/>
    <w:rsid w:val="00D96715"/>
    <w:rsid w:val="00DA1F6C"/>
    <w:rsid w:val="00DA25F8"/>
    <w:rsid w:val="00DA2C61"/>
    <w:rsid w:val="00DA3778"/>
    <w:rsid w:val="00DA4CB5"/>
    <w:rsid w:val="00DA576F"/>
    <w:rsid w:val="00DA78FC"/>
    <w:rsid w:val="00DA7EFC"/>
    <w:rsid w:val="00DB69D2"/>
    <w:rsid w:val="00DB736B"/>
    <w:rsid w:val="00DC2AAE"/>
    <w:rsid w:val="00DC37DF"/>
    <w:rsid w:val="00DC3C2F"/>
    <w:rsid w:val="00DD4B46"/>
    <w:rsid w:val="00DD5F5F"/>
    <w:rsid w:val="00DD7EF2"/>
    <w:rsid w:val="00DE21B2"/>
    <w:rsid w:val="00DE28AE"/>
    <w:rsid w:val="00DE3307"/>
    <w:rsid w:val="00DE699F"/>
    <w:rsid w:val="00DF26BD"/>
    <w:rsid w:val="00DF391E"/>
    <w:rsid w:val="00DF508F"/>
    <w:rsid w:val="00E01BFB"/>
    <w:rsid w:val="00E02F75"/>
    <w:rsid w:val="00E069C1"/>
    <w:rsid w:val="00E076C5"/>
    <w:rsid w:val="00E109E7"/>
    <w:rsid w:val="00E1124F"/>
    <w:rsid w:val="00E140EE"/>
    <w:rsid w:val="00E14647"/>
    <w:rsid w:val="00E14783"/>
    <w:rsid w:val="00E152F0"/>
    <w:rsid w:val="00E2370D"/>
    <w:rsid w:val="00E27206"/>
    <w:rsid w:val="00E27561"/>
    <w:rsid w:val="00E30059"/>
    <w:rsid w:val="00E301D7"/>
    <w:rsid w:val="00E31562"/>
    <w:rsid w:val="00E324A9"/>
    <w:rsid w:val="00E3472C"/>
    <w:rsid w:val="00E37320"/>
    <w:rsid w:val="00E402CF"/>
    <w:rsid w:val="00E41EDA"/>
    <w:rsid w:val="00E42013"/>
    <w:rsid w:val="00E423A9"/>
    <w:rsid w:val="00E42ABF"/>
    <w:rsid w:val="00E47E12"/>
    <w:rsid w:val="00E516A1"/>
    <w:rsid w:val="00E52F73"/>
    <w:rsid w:val="00E54A11"/>
    <w:rsid w:val="00E603FA"/>
    <w:rsid w:val="00E62B7E"/>
    <w:rsid w:val="00E64D98"/>
    <w:rsid w:val="00E65590"/>
    <w:rsid w:val="00E70E75"/>
    <w:rsid w:val="00E71022"/>
    <w:rsid w:val="00E72013"/>
    <w:rsid w:val="00E82156"/>
    <w:rsid w:val="00E85FCF"/>
    <w:rsid w:val="00E902D7"/>
    <w:rsid w:val="00E93113"/>
    <w:rsid w:val="00E944C4"/>
    <w:rsid w:val="00E9638A"/>
    <w:rsid w:val="00EA142F"/>
    <w:rsid w:val="00EA359A"/>
    <w:rsid w:val="00EA3F93"/>
    <w:rsid w:val="00EB35B1"/>
    <w:rsid w:val="00EC360A"/>
    <w:rsid w:val="00EC5E96"/>
    <w:rsid w:val="00ED0A8F"/>
    <w:rsid w:val="00ED3A5A"/>
    <w:rsid w:val="00ED524B"/>
    <w:rsid w:val="00EE0A5A"/>
    <w:rsid w:val="00EE0DEE"/>
    <w:rsid w:val="00EE11BF"/>
    <w:rsid w:val="00EE6EB1"/>
    <w:rsid w:val="00EF0BC5"/>
    <w:rsid w:val="00EF1B53"/>
    <w:rsid w:val="00EF2FA2"/>
    <w:rsid w:val="00EF3AD9"/>
    <w:rsid w:val="00EF7D7C"/>
    <w:rsid w:val="00F044DA"/>
    <w:rsid w:val="00F04C09"/>
    <w:rsid w:val="00F1441E"/>
    <w:rsid w:val="00F166E2"/>
    <w:rsid w:val="00F171D3"/>
    <w:rsid w:val="00F17409"/>
    <w:rsid w:val="00F221DA"/>
    <w:rsid w:val="00F24C91"/>
    <w:rsid w:val="00F24DD4"/>
    <w:rsid w:val="00F26721"/>
    <w:rsid w:val="00F268CC"/>
    <w:rsid w:val="00F26A0C"/>
    <w:rsid w:val="00F34009"/>
    <w:rsid w:val="00F41027"/>
    <w:rsid w:val="00F43BF9"/>
    <w:rsid w:val="00F4438C"/>
    <w:rsid w:val="00F51390"/>
    <w:rsid w:val="00F526DC"/>
    <w:rsid w:val="00F54D3E"/>
    <w:rsid w:val="00F55869"/>
    <w:rsid w:val="00F55F3D"/>
    <w:rsid w:val="00F56618"/>
    <w:rsid w:val="00F576DA"/>
    <w:rsid w:val="00F5775D"/>
    <w:rsid w:val="00F616DA"/>
    <w:rsid w:val="00F62BB5"/>
    <w:rsid w:val="00F62ED3"/>
    <w:rsid w:val="00F705CB"/>
    <w:rsid w:val="00F706F1"/>
    <w:rsid w:val="00F71119"/>
    <w:rsid w:val="00F75CA6"/>
    <w:rsid w:val="00F80530"/>
    <w:rsid w:val="00F82638"/>
    <w:rsid w:val="00F858A6"/>
    <w:rsid w:val="00F87103"/>
    <w:rsid w:val="00F913AC"/>
    <w:rsid w:val="00F917E0"/>
    <w:rsid w:val="00F9284B"/>
    <w:rsid w:val="00F94A50"/>
    <w:rsid w:val="00F96448"/>
    <w:rsid w:val="00F97537"/>
    <w:rsid w:val="00FA024F"/>
    <w:rsid w:val="00FA0ABD"/>
    <w:rsid w:val="00FA1425"/>
    <w:rsid w:val="00FA1988"/>
    <w:rsid w:val="00FA20E3"/>
    <w:rsid w:val="00FA3EF6"/>
    <w:rsid w:val="00FA6A31"/>
    <w:rsid w:val="00FA7FFC"/>
    <w:rsid w:val="00FB107D"/>
    <w:rsid w:val="00FB72B6"/>
    <w:rsid w:val="00FC1AF3"/>
    <w:rsid w:val="00FC3395"/>
    <w:rsid w:val="00FC6B7D"/>
    <w:rsid w:val="00FD3F41"/>
    <w:rsid w:val="00FD72C4"/>
    <w:rsid w:val="00FE088E"/>
    <w:rsid w:val="00FE0B9C"/>
    <w:rsid w:val="00FE5676"/>
    <w:rsid w:val="00FF207E"/>
    <w:rsid w:val="00FF2F33"/>
    <w:rsid w:val="00FF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4170"/>
    </o:shapedefaults>
    <o:shapelayout v:ext="edit">
      <o:idmap v:ext="edit" data="1"/>
    </o:shapelayout>
  </w:shapeDefaults>
  <w:decimalSymbol w:val=","/>
  <w:listSeparator w:val=";"/>
  <w14:docId w14:val="73995C03"/>
  <w15:docId w15:val="{E80E81E3-6D0D-4593-9994-B5CC1E2C7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4E5206"/>
    <w:pPr>
      <w:widowControl w:val="0"/>
    </w:pPr>
    <w:rPr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5C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72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character" w:styleId="Hipercze">
    <w:name w:val="Hyperlink"/>
    <w:uiPriority w:val="99"/>
    <w:unhideWhenUsed/>
    <w:rsid w:val="003B4F43"/>
    <w:rPr>
      <w:color w:val="0000FF"/>
      <w:u w:val="single"/>
    </w:rPr>
  </w:style>
  <w:style w:type="paragraph" w:styleId="Bezodstpw">
    <w:name w:val="No Spacing"/>
    <w:uiPriority w:val="1"/>
    <w:qFormat/>
    <w:rsid w:val="00791AD8"/>
    <w:pPr>
      <w:widowControl w:val="0"/>
    </w:pPr>
    <w:rPr>
      <w:sz w:val="22"/>
      <w:szCs w:val="22"/>
      <w:lang w:val="en-US" w:eastAsia="en-US"/>
    </w:rPr>
  </w:style>
  <w:style w:type="paragraph" w:customStyle="1" w:styleId="Default">
    <w:name w:val="Default"/>
    <w:rsid w:val="00EC5E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03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3FA"/>
    <w:rPr>
      <w:rFonts w:ascii="Tahoma" w:hAnsi="Tahoma" w:cs="Tahoma"/>
      <w:sz w:val="16"/>
      <w:szCs w:val="16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45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4533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4533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720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95C5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table" w:styleId="Tabela-Siatka">
    <w:name w:val="Table Grid"/>
    <w:basedOn w:val="Standardowy"/>
    <w:uiPriority w:val="59"/>
    <w:rsid w:val="00D55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D45D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A4B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B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4B88"/>
    <w:rPr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B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4B88"/>
    <w:rPr>
      <w:b/>
      <w:bCs/>
      <w:lang w:val="en-US" w:eastAsia="en-US"/>
    </w:rPr>
  </w:style>
  <w:style w:type="paragraph" w:styleId="Poprawka">
    <w:name w:val="Revision"/>
    <w:hidden/>
    <w:uiPriority w:val="99"/>
    <w:semiHidden/>
    <w:rsid w:val="004B37CB"/>
    <w:rPr>
      <w:sz w:val="22"/>
      <w:szCs w:val="22"/>
      <w:lang w:val="en-US"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C6F4F"/>
    <w:pPr>
      <w:widowControl/>
    </w:pPr>
    <w:rPr>
      <w:rFonts w:eastAsiaTheme="minorHAnsi" w:cstheme="minorBid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C6F4F"/>
    <w:rPr>
      <w:rFonts w:eastAsiaTheme="minorHAns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4BE8C-A541-4A61-B3CB-B7DAE4010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C31BBA-7701-4422-B62D-EE34F9CB32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A93113-1ED8-41F5-8AAF-9695D9912F3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4.xml><?xml version="1.0" encoding="utf-8"?>
<ds:datastoreItem xmlns:ds="http://schemas.openxmlformats.org/officeDocument/2006/customXml" ds:itemID="{03BFECB4-B870-44ED-ADB6-24586789B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Anita Brunowicz</cp:lastModifiedBy>
  <cp:revision>2</cp:revision>
  <cp:lastPrinted>2026-09-10T12:23:00Z</cp:lastPrinted>
  <dcterms:created xsi:type="dcterms:W3CDTF">2026-09-11T06:54:00Z</dcterms:created>
  <dcterms:modified xsi:type="dcterms:W3CDTF">2026-09-11T06:54:00Z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  <property fmtid="{D5CDD505-2E9C-101B-9397-08002B2CF9AE}" pid="4" name="ContentTypeId">
    <vt:lpwstr>0x0101003D098027BC31EB45A64084565E206E85</vt:lpwstr>
  </property>
</Properties>
</file>