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131C7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1C7A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31C7A">
        <w:rPr>
          <w:rFonts w:ascii="Arial" w:hAnsi="Arial" w:cs="Arial"/>
          <w:sz w:val="24"/>
          <w:szCs w:val="24"/>
        </w:rPr>
        <w:t>2025-11-0</w:t>
      </w:r>
      <w:r w:rsidR="00C10B97">
        <w:rPr>
          <w:rFonts w:ascii="Arial" w:hAnsi="Arial" w:cs="Arial"/>
          <w:sz w:val="24"/>
          <w:szCs w:val="24"/>
        </w:rPr>
        <w:t>4</w:t>
      </w:r>
    </w:p>
    <w:p w:rsidR="00554D72" w:rsidRPr="00AD45A9" w:rsidRDefault="00131C7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1C7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131C7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131C7A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31C7A">
        <w:rPr>
          <w:rFonts w:ascii="Arial" w:hAnsi="Arial" w:cs="Arial"/>
          <w:sz w:val="24"/>
          <w:szCs w:val="24"/>
        </w:rPr>
        <w:t>69</w:t>
      </w:r>
    </w:p>
    <w:p w:rsidR="00554D72" w:rsidRPr="00AD45A9" w:rsidRDefault="00131C7A" w:rsidP="00554D72">
      <w:pPr>
        <w:rPr>
          <w:rFonts w:ascii="Arial" w:hAnsi="Arial" w:cs="Arial"/>
          <w:sz w:val="24"/>
          <w:szCs w:val="24"/>
        </w:rPr>
      </w:pPr>
      <w:r w:rsidRPr="00131C7A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31C7A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C10B97" w:rsidRPr="00C10B97" w:rsidRDefault="00C10B97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FD2214">
        <w:rPr>
          <w:rFonts w:ascii="Arial" w:hAnsi="Arial" w:cs="Arial"/>
          <w:bCs/>
          <w:sz w:val="24"/>
          <w:szCs w:val="24"/>
        </w:rPr>
        <w:t>681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/25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C10B97" w:rsidP="00C10B97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AD2EFB">
              <w:rPr>
                <w:rFonts w:cs="Arial"/>
                <w:spacing w:val="50"/>
                <w:sz w:val="32"/>
                <w:szCs w:val="32"/>
              </w:rPr>
              <w:t>WYJAŚNIENIA TREŚCI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131C7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1C7A">
              <w:rPr>
                <w:rFonts w:ascii="Arial" w:hAnsi="Arial" w:cs="Arial"/>
                <w:bCs/>
                <w:sz w:val="24"/>
                <w:szCs w:val="24"/>
              </w:rPr>
              <w:t>Dostawa, instalacja oraz uruchomienie i wdrożenie drukarki 3D do żywic oraz elastomerów dla Wydziału Budownictwa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1C7A" w:rsidRPr="004E4B64" w:rsidTr="00DE4C30">
        <w:tc>
          <w:tcPr>
            <w:tcW w:w="2269" w:type="dxa"/>
            <w:shd w:val="clear" w:color="auto" w:fill="auto"/>
          </w:tcPr>
          <w:p w:rsidR="00131C7A" w:rsidRPr="004E4B64" w:rsidRDefault="00131C7A" w:rsidP="00DE4C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1C7A" w:rsidRPr="004E4B64" w:rsidRDefault="00131C7A" w:rsidP="00DE4C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1C7A">
              <w:rPr>
                <w:rFonts w:ascii="Arial" w:hAnsi="Arial" w:cs="Arial"/>
                <w:bCs/>
                <w:sz w:val="24"/>
                <w:szCs w:val="24"/>
              </w:rPr>
              <w:t>RZ-DZP.261.49.2025.AR</w:t>
            </w:r>
          </w:p>
        </w:tc>
      </w:tr>
    </w:tbl>
    <w:p w:rsidR="00C10B97" w:rsidRPr="00AD2EFB" w:rsidRDefault="00C10B97" w:rsidP="00C10B97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EFB">
        <w:rPr>
          <w:rFonts w:ascii="Arial" w:hAnsi="Arial" w:cs="Arial"/>
          <w:sz w:val="24"/>
          <w:szCs w:val="24"/>
        </w:rPr>
        <w:t xml:space="preserve">Zamawiający, </w:t>
      </w:r>
      <w:r w:rsidRPr="00AD2EFB">
        <w:rPr>
          <w:rFonts w:ascii="Arial" w:hAnsi="Arial" w:cs="Arial"/>
          <w:b/>
          <w:sz w:val="24"/>
          <w:szCs w:val="24"/>
        </w:rPr>
        <w:t>Politechnika Częstochowska</w:t>
      </w:r>
      <w:r w:rsidRPr="00AD2EFB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AD2EFB">
        <w:rPr>
          <w:rFonts w:ascii="Arial" w:hAnsi="Arial" w:cs="Arial"/>
          <w:sz w:val="24"/>
          <w:szCs w:val="24"/>
        </w:rPr>
        <w:t>t.j</w:t>
      </w:r>
      <w:proofErr w:type="spellEnd"/>
      <w:r w:rsidRPr="00AD2EFB">
        <w:rPr>
          <w:rFonts w:ascii="Arial" w:hAnsi="Arial" w:cs="Arial"/>
          <w:sz w:val="24"/>
          <w:szCs w:val="24"/>
        </w:rPr>
        <w:t>. Dz. U. z 2024 poz. 1320), udostępnia poniżej treść zapytań do Specyfikacji Warunków Zamówienia (</w:t>
      </w:r>
      <w:r w:rsidRPr="00AD2EFB">
        <w:rPr>
          <w:rFonts w:ascii="Arial" w:hAnsi="Arial" w:cs="Arial"/>
          <w:sz w:val="24"/>
          <w:szCs w:val="24"/>
          <w:lang w:eastAsia="ar-SA"/>
        </w:rPr>
        <w:t>zwanej dalej</w:t>
      </w:r>
      <w:r w:rsidRPr="00AD2EF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AD2EFB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AD2EFB">
        <w:rPr>
          <w:rFonts w:ascii="Arial" w:hAnsi="Arial" w:cs="Arial"/>
          <w:sz w:val="24"/>
          <w:szCs w:val="24"/>
        </w:rPr>
        <w:t>wraz z wyjaśnieniami</w:t>
      </w:r>
      <w:r w:rsidRPr="00AD2EF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0B97" w:rsidRPr="00C10B97" w:rsidTr="00DE4C30">
        <w:tc>
          <w:tcPr>
            <w:tcW w:w="9356" w:type="dxa"/>
            <w:shd w:val="clear" w:color="auto" w:fill="auto"/>
          </w:tcPr>
          <w:p w:rsidR="00C10B97" w:rsidRPr="00D46D70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46D70"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  <w:lastRenderedPageBreak/>
              <w:t xml:space="preserve">Pytanie nr 1: </w:t>
            </w:r>
          </w:p>
          <w:p w:rsidR="00C10B97" w:rsidRPr="00C10B97" w:rsidRDefault="00C10B97" w:rsidP="00C10B97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>Wnosimy o wprowadzenie do SWZ mechanizmu weryfikacji zgodności już na etapie oceny ofert, polegającego na tym, że wykonawca:</w:t>
            </w:r>
          </w:p>
          <w:p w:rsidR="00C10B97" w:rsidRPr="00C10B97" w:rsidRDefault="00C10B97" w:rsidP="00C10B9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 xml:space="preserve">wskazuje w ofercie: </w:t>
            </w:r>
            <w:r w:rsidRPr="00C10B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nazwa producenta, model, oznaczenie techniczne jednoznacznie identyfikujące zaoferowane urządzenie. </w:t>
            </w:r>
            <w:r w:rsidRPr="00C10B97">
              <w:rPr>
                <w:rFonts w:ascii="Arial" w:hAnsi="Arial" w:cs="Arial"/>
                <w:sz w:val="24"/>
                <w:szCs w:val="24"/>
              </w:rPr>
              <w:t xml:space="preserve">Oferowane urządzenie musi stanowić model produkcyjny (seryjny), wprowadzony do obrotu zgodnie z obowiązującymi przepisami i być dostępne na rynku w dniu składania ofert; Zamawiający nie dopuszcza prototypów, konstrukcji </w:t>
            </w:r>
            <w:proofErr w:type="spellStart"/>
            <w:r w:rsidRPr="00C10B97">
              <w:rPr>
                <w:rFonts w:ascii="Arial" w:hAnsi="Arial" w:cs="Arial"/>
                <w:sz w:val="24"/>
                <w:szCs w:val="24"/>
              </w:rPr>
              <w:t>przedrynkowych</w:t>
            </w:r>
            <w:proofErr w:type="spellEnd"/>
            <w:r w:rsidRPr="00C10B97">
              <w:rPr>
                <w:rFonts w:ascii="Arial" w:hAnsi="Arial" w:cs="Arial"/>
                <w:sz w:val="24"/>
                <w:szCs w:val="24"/>
              </w:rPr>
              <w:t xml:space="preserve"> ani urządzeń projektowanych lub dostosowywanych wyłącznie pod niniejsze postępowanie,</w:t>
            </w:r>
          </w:p>
          <w:p w:rsidR="00C10B97" w:rsidRPr="00C10B97" w:rsidRDefault="00C10B97" w:rsidP="00C10B97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 xml:space="preserve">składa </w:t>
            </w:r>
            <w:r w:rsidRPr="00C10B97">
              <w:rPr>
                <w:rFonts w:ascii="Arial" w:hAnsi="Arial" w:cs="Arial"/>
                <w:b/>
                <w:bCs/>
                <w:sz w:val="24"/>
                <w:szCs w:val="24"/>
              </w:rPr>
              <w:t>kartę zgodności</w:t>
            </w:r>
            <w:r w:rsidRPr="00C10B97">
              <w:rPr>
                <w:rFonts w:ascii="Arial" w:hAnsi="Arial" w:cs="Arial"/>
                <w:sz w:val="24"/>
                <w:szCs w:val="24"/>
              </w:rPr>
              <w:t xml:space="preserve"> (załącznik do oferty), w której do każdej cechy z OPZ podaje:</w:t>
            </w:r>
          </w:p>
          <w:p w:rsidR="00C10B97" w:rsidRPr="00C10B97" w:rsidRDefault="00C10B97" w:rsidP="00C10B97">
            <w:pPr>
              <w:numPr>
                <w:ilvl w:val="1"/>
                <w:numId w:val="1"/>
              </w:num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>konkretny parametr oferowanego urządzenia,</w:t>
            </w:r>
          </w:p>
          <w:p w:rsidR="00C10B97" w:rsidRPr="00C10B97" w:rsidRDefault="00C10B97" w:rsidP="00C10B97">
            <w:pPr>
              <w:numPr>
                <w:ilvl w:val="1"/>
                <w:numId w:val="1"/>
              </w:num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>miejsce potwierdzenia w dokumentacji producenta (nr strony/rozdział/zrzut ekranu),</w:t>
            </w:r>
          </w:p>
          <w:p w:rsidR="00C10B97" w:rsidRPr="00C10B97" w:rsidRDefault="00C10B97" w:rsidP="00C10B97">
            <w:pPr>
              <w:numPr>
                <w:ilvl w:val="1"/>
                <w:numId w:val="1"/>
              </w:num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>dowód z dokumentacji lub interfejsu urządzenia;</w:t>
            </w:r>
          </w:p>
          <w:p w:rsidR="00C10B97" w:rsidRPr="00C10B97" w:rsidRDefault="00C10B97" w:rsidP="00C10B97">
            <w:pPr>
              <w:numPr>
                <w:ilvl w:val="0"/>
                <w:numId w:val="1"/>
              </w:numPr>
              <w:spacing w:after="16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Równocześnie Zamawiający wskazuje, że przedstawienie samej </w:t>
            </w:r>
            <w:r w:rsidRPr="00C10B97">
              <w:rPr>
                <w:rFonts w:ascii="Arial" w:eastAsia="Aptos" w:hAnsi="Arial" w:cs="Arial"/>
                <w:bCs/>
                <w:kern w:val="2"/>
                <w:sz w:val="24"/>
                <w:szCs w:val="24"/>
                <w:lang w:eastAsia="en-US"/>
              </w:rPr>
              <w:t xml:space="preserve">ulotki/innych materiałów marketingowych, czy też </w:t>
            </w: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instrukcji, bez wskazania </w:t>
            </w:r>
            <w:r w:rsidRPr="00C10B97">
              <w:rPr>
                <w:rFonts w:ascii="Arial" w:eastAsia="Aptos" w:hAnsi="Arial" w:cs="Arial"/>
                <w:bCs/>
                <w:kern w:val="2"/>
                <w:sz w:val="24"/>
                <w:szCs w:val="24"/>
                <w:lang w:eastAsia="en-US"/>
              </w:rPr>
              <w:t>konkretnej pozycji</w:t>
            </w: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 (strony/ekranu) i </w:t>
            </w:r>
            <w:r w:rsidRPr="00C10B97">
              <w:rPr>
                <w:rFonts w:ascii="Arial" w:eastAsia="Aptos" w:hAnsi="Arial" w:cs="Arial"/>
                <w:bCs/>
                <w:kern w:val="2"/>
                <w:sz w:val="24"/>
                <w:szCs w:val="24"/>
                <w:lang w:eastAsia="en-US"/>
              </w:rPr>
              <w:t>dowodu z urządzenia,</w:t>
            </w: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 </w:t>
            </w:r>
            <w:r w:rsidRPr="00C10B97">
              <w:rPr>
                <w:rFonts w:ascii="Arial" w:eastAsia="Aptos" w:hAnsi="Arial" w:cs="Arial"/>
                <w:b/>
                <w:kern w:val="2"/>
                <w:sz w:val="24"/>
                <w:szCs w:val="24"/>
                <w:lang w:eastAsia="en-US"/>
              </w:rPr>
              <w:t>nie stanowi wystarczającego potwierdzenia cechy</w:t>
            </w: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.</w:t>
            </w:r>
          </w:p>
          <w:p w:rsidR="00C10B97" w:rsidRPr="00C10B97" w:rsidRDefault="00C10B97" w:rsidP="00C10B97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10B97">
              <w:rPr>
                <w:rFonts w:ascii="Arial" w:hAnsi="Arial" w:cs="Arial"/>
                <w:sz w:val="24"/>
                <w:szCs w:val="24"/>
              </w:rPr>
              <w:t>Rozwiązanie to pozwala zamawiającemu zweryfikować ofertę przed dostawą i uniknąć sporów przy odbiorze.</w:t>
            </w:r>
          </w:p>
          <w:p w:rsidR="00C10B97" w:rsidRPr="00D46D70" w:rsidRDefault="00C10B97" w:rsidP="00C10B9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46D70">
              <w:rPr>
                <w:rFonts w:ascii="Arial" w:hAnsi="Arial" w:cs="Arial"/>
                <w:b/>
                <w:sz w:val="24"/>
                <w:szCs w:val="24"/>
                <w:u w:val="single"/>
              </w:rPr>
              <w:t>Odpowiedź</w:t>
            </w:r>
          </w:p>
          <w:p w:rsidR="00261813" w:rsidRDefault="00D46D70" w:rsidP="00D46D70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nie wyraża zgody na powyższe zmiany. Zgodnie z SWZ Zamawiający wymaga złożenia wraz z ofertą następujących, przedmiotowych środków dowodowych tj.: o</w:t>
            </w:r>
            <w:r w:rsidRPr="00D46D70">
              <w:rPr>
                <w:rFonts w:ascii="Arial" w:hAnsi="Arial" w:cs="Arial"/>
                <w:sz w:val="24"/>
                <w:szCs w:val="24"/>
              </w:rPr>
              <w:t>pis</w:t>
            </w: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D46D70">
              <w:rPr>
                <w:rFonts w:ascii="Arial" w:hAnsi="Arial" w:cs="Arial"/>
                <w:sz w:val="24"/>
                <w:szCs w:val="24"/>
              </w:rPr>
              <w:t xml:space="preserve"> oferowanego przedmiotu zamówienia. Na podstawie art. 106 ust. 1 ustawy </w:t>
            </w:r>
            <w:proofErr w:type="spellStart"/>
            <w:r w:rsidRPr="00D46D7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46D70">
              <w:rPr>
                <w:rFonts w:ascii="Arial" w:hAnsi="Arial" w:cs="Arial"/>
                <w:sz w:val="24"/>
                <w:szCs w:val="24"/>
              </w:rPr>
              <w:t>, celem potwierdzenia zgodności oferowanej dostawy z wymaganiami, cechami lub kryteriami określanymi w opisie przedmiotu zamówienia, zamawiający żąda od wykonawców złożenia wraz z ofertą kart katalogowych produktów lub opisów produktów sporządzonych przez Wykonawcę w języku polskim potwierdzających, że oferowane przez niego dostawy spełniają wymagania określone przez Zamawiającego. Dokument musi zawierać co najmniej wyszczególnienie wszystkich parametrów wyspecyfikowanych w opisie przedmiotu zamówienia, funkcje i cechy oferowanego przedmiotu oraz oznaczenia takie jak - producent, model lub inne oznaczenia identyfikujące oferowany produkt.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48D9" w:rsidRDefault="001648D9" w:rsidP="001648D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Ostateczna weryfikacja czy oferowany przedmiot zamówienia spełnia wymagania Zamawiającego następuje jeszcze na etapie odbioru przedmiotu zamówienia – pod rygorem odmowy przyjęcia dostawy.</w:t>
            </w:r>
          </w:p>
          <w:p w:rsidR="00C10B97" w:rsidRPr="00D46D70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46D70"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Pytanie nr 2: </w:t>
            </w:r>
          </w:p>
          <w:p w:rsidR="00C10B97" w:rsidRPr="00C10B97" w:rsidRDefault="00C10B97" w:rsidP="00C10B97">
            <w:pPr>
              <w:tabs>
                <w:tab w:val="left" w:pos="708"/>
              </w:tabs>
              <w:spacing w:before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x-none" w:eastAsia="x-none"/>
              </w:rPr>
            </w:pPr>
            <w:r w:rsidRPr="00C10B97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eastAsia="x-none"/>
              </w:rPr>
              <w:t xml:space="preserve">„21.4.Wykonawca zobowiązany jest zastosować stawkę VAT zgodnie z obowiązującymi przepisami ustawy z 11 marca 2004 r. o podatku od towarów i usług </w:t>
            </w:r>
            <w:r w:rsidRPr="00C10B97">
              <w:rPr>
                <w:rFonts w:ascii="Arial" w:hAnsi="Arial" w:cs="Arial"/>
                <w:bCs/>
                <w:iCs/>
                <w:sz w:val="24"/>
                <w:szCs w:val="24"/>
                <w:lang w:val="x-none"/>
              </w:rPr>
              <w:t>(</w:t>
            </w:r>
            <w:proofErr w:type="spellStart"/>
            <w:r w:rsidRPr="00C10B97">
              <w:rPr>
                <w:rFonts w:ascii="Arial" w:hAnsi="Arial" w:cs="Arial"/>
                <w:bCs/>
                <w:iCs/>
                <w:sz w:val="24"/>
                <w:szCs w:val="24"/>
                <w:lang w:val="x-none"/>
              </w:rPr>
              <w:t>t.j</w:t>
            </w:r>
            <w:proofErr w:type="spellEnd"/>
            <w:r w:rsidRPr="00C10B97">
              <w:rPr>
                <w:rFonts w:ascii="Arial" w:hAnsi="Arial" w:cs="Arial"/>
                <w:bCs/>
                <w:iCs/>
                <w:sz w:val="24"/>
                <w:szCs w:val="24"/>
                <w:lang w:val="x-none"/>
              </w:rPr>
              <w:t>. Dz.U. z 2023r. poz. 1570)</w:t>
            </w:r>
            <w:r w:rsidRPr="00C10B97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eastAsia="x-none"/>
              </w:rPr>
              <w:t>.”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Wykonawca wskazuje, że w zakresie części dostaw, jest możliwe zastosowanie zwolnienia z art. Art. 83 ust. 1 pkt 26 ustawy o VAT, zgodnie ze stanowiskiem: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i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„</w:t>
            </w:r>
            <w:r w:rsidRPr="00C10B97">
              <w:rPr>
                <w:rFonts w:ascii="Arial" w:eastAsia="Aptos" w:hAnsi="Arial" w:cs="Arial"/>
                <w:i/>
                <w:sz w:val="24"/>
                <w:szCs w:val="24"/>
                <w:lang w:eastAsia="en-US"/>
              </w:rPr>
              <w:t>Zastosowanie stawki VAT 0% na drukarki i skanery 3D dla szkół, brak preferencji dla ploterów - Interpretacja indywidualna z dnia 20 czerwca 2025 r., Dyrektor Krajowej Informacji Skarbowej, sygn. 0114-KDIP4-3.4012.213.2025.2.IG: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b/>
                <w:i/>
                <w:sz w:val="24"/>
                <w:szCs w:val="24"/>
                <w:lang w:eastAsia="en-US"/>
              </w:rPr>
              <w:t xml:space="preserve">Preferencyjną stawką 0% VAT objęte są jedynie te dostawy sprzętu komputerowego dla placówek oświatowych, które zostały literalnie wymienione w załączniku nr 8 do ustawy o VAT. Dostawa drukarki 3D i skanera 3D może </w:t>
            </w:r>
            <w:r w:rsidRPr="00C10B97">
              <w:rPr>
                <w:rFonts w:ascii="Arial" w:eastAsia="Aptos" w:hAnsi="Arial" w:cs="Arial"/>
                <w:b/>
                <w:i/>
                <w:sz w:val="24"/>
                <w:szCs w:val="24"/>
                <w:lang w:eastAsia="en-US"/>
              </w:rPr>
              <w:lastRenderedPageBreak/>
              <w:t>korzystać z 0% stawki</w:t>
            </w:r>
            <w:r w:rsidRPr="00C10B97">
              <w:rPr>
                <w:rFonts w:ascii="Arial" w:eastAsia="Aptos" w:hAnsi="Arial" w:cs="Arial"/>
                <w:i/>
                <w:sz w:val="24"/>
                <w:szCs w:val="24"/>
                <w:lang w:eastAsia="en-US"/>
              </w:rPr>
              <w:t>, ale nie odnosi się to do wielkoformatowego urządzenia drukującego, które objęte jest stawką podstawową 23%”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 (źródło: inforlex.pl)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Natomiast co do części dostaw, konieczne jest zastosowanie stawki podstawowej. Stąd Wykonawca, nie chcąc złożyć oferty podlegającej odrzuceniu, wnosi o wskazanie, jaką stawkę podatku należy przyjąć, w szczególności, czy Zamawiający potwierdza możliwość zastosowania w/w zwolnienia co do części dostaw, czy nie. W konsekwencji, czy formularz ofertowy zostanie zaktualizowany na dostawę ze stawką VAT ZW (z podstawą prawną zwolnienia) oraz dostawę opodatkowana wg stawki podstawowej, z równoczesnym zamieszczeniem w SWZ zapisu, że zastosowanie zwolnienia VAT nie stanowi podstawy odrzucenia oferty, o ile wykonawca wskaże konkretną podstawę prawną i złoży stosowne oświadczenie; ewentualna weryfikacja warunków zwolnienia nastąpi na etapie zawarcia umowy/realizacji.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Co do zakresu dostaw nieobjętych zwolnieniem, to np.:</w:t>
            </w:r>
          </w:p>
          <w:p w:rsidR="00C10B97" w:rsidRPr="00C10B97" w:rsidRDefault="00C10B97" w:rsidP="00C10B97">
            <w:pPr>
              <w:spacing w:line="360" w:lineRule="auto"/>
              <w:ind w:left="700" w:hanging="700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>myjka ultradźwiękowa o pojemności nie mniejszej niż 18 litrów i mocy co najmniej 400 W, z regulacją temperatury w zakresie 0-80 °C. Wymiary komory nie mniejsze niż 300 x 250 x 190 mm;</w:t>
            </w:r>
          </w:p>
          <w:p w:rsidR="00C10B97" w:rsidRPr="00C10B97" w:rsidRDefault="00C10B97" w:rsidP="00C10B97">
            <w:pPr>
              <w:spacing w:line="360" w:lineRule="auto"/>
              <w:ind w:left="700" w:hanging="700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MS Gothic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MS Gothic" w:hAnsi="Arial" w:cs="Arial"/>
                <w:sz w:val="24"/>
                <w:szCs w:val="24"/>
                <w:lang w:eastAsia="en-US"/>
              </w:rPr>
              <w:tab/>
              <w:t>z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estaw materiałów eksploatacyjnych startowych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>komora do utwardzania wydruków światłem UV o parametrach minimalnych:</w:t>
            </w:r>
          </w:p>
          <w:p w:rsidR="00C10B97" w:rsidRPr="00C10B97" w:rsidRDefault="00C10B97" w:rsidP="00C10B97">
            <w:pPr>
              <w:spacing w:line="360" w:lineRule="auto"/>
              <w:ind w:left="708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(objętość robocza co najmniej 190 x 100 x 370 mm, intensywność emitowanego co najmniej 225 </w:t>
            </w:r>
            <w:proofErr w:type="spellStart"/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mW</w:t>
            </w:r>
            <w:proofErr w:type="spellEnd"/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/cm2,minimum 3 długości fali: 365nm, 385nm oraz 405nm z ustawieniem emisji każdej z nich na poziomie 0-100%)</w:t>
            </w:r>
            <w:r w:rsidRPr="00C10B97">
              <w:rPr>
                <w:rFonts w:ascii="Tahoma" w:eastAsia="MS Gothic" w:hAnsi="Tahoma" w:cs="Tahoma"/>
                <w:sz w:val="24"/>
                <w:szCs w:val="24"/>
                <w:lang w:val="en-US" w:eastAsia="en-US"/>
              </w:rPr>
              <w:t> </w:t>
            </w:r>
          </w:p>
          <w:p w:rsidR="00C10B97" w:rsidRPr="00D46D70" w:rsidRDefault="00C10B97" w:rsidP="00C10B9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46D70">
              <w:rPr>
                <w:rFonts w:ascii="Arial" w:hAnsi="Arial" w:cs="Arial"/>
                <w:b/>
                <w:sz w:val="24"/>
                <w:szCs w:val="24"/>
                <w:u w:val="single"/>
              </w:rPr>
              <w:t>Odpowiedź</w:t>
            </w:r>
          </w:p>
          <w:p w:rsidR="00AC6C36" w:rsidRPr="00AC6C36" w:rsidRDefault="00AC6C36" w:rsidP="00AC6C36">
            <w:pPr>
              <w:pStyle w:val="Tekstpodstawowy"/>
              <w:numPr>
                <w:ilvl w:val="0"/>
                <w:numId w:val="3"/>
              </w:numPr>
              <w:tabs>
                <w:tab w:val="left" w:pos="284"/>
              </w:tabs>
              <w:ind w:left="0" w:hanging="284"/>
              <w:rPr>
                <w:rFonts w:ascii="Arial" w:hAnsi="Arial" w:cs="Arial"/>
                <w:bCs/>
                <w:iCs/>
                <w:szCs w:val="24"/>
                <w:lang w:val="x-none"/>
              </w:rPr>
            </w:pPr>
            <w:r w:rsidRPr="00AC6C36">
              <w:rPr>
                <w:rFonts w:ascii="Arial" w:hAnsi="Arial" w:cs="Arial"/>
                <w:bCs/>
                <w:iCs/>
                <w:szCs w:val="24"/>
              </w:rPr>
              <w:t xml:space="preserve">Wykonawca zobowiązany jest zastosować stawkę VAT zgodnie z obowiązującymi przepisami ustawy z 11 marca 2004 r. o podatku od towarów i usług </w:t>
            </w:r>
            <w:r w:rsidRPr="00AC6C36">
              <w:rPr>
                <w:rFonts w:ascii="Arial" w:hAnsi="Arial" w:cs="Arial"/>
                <w:bCs/>
                <w:iCs/>
                <w:szCs w:val="24"/>
                <w:lang w:val="x-none"/>
              </w:rPr>
              <w:t>(</w:t>
            </w:r>
            <w:proofErr w:type="spellStart"/>
            <w:r w:rsidRPr="00AC6C36">
              <w:rPr>
                <w:rFonts w:ascii="Arial" w:hAnsi="Arial" w:cs="Arial"/>
                <w:bCs/>
                <w:iCs/>
                <w:szCs w:val="24"/>
                <w:lang w:val="x-none"/>
              </w:rPr>
              <w:t>t.j</w:t>
            </w:r>
            <w:proofErr w:type="spellEnd"/>
            <w:r w:rsidRPr="00AC6C36">
              <w:rPr>
                <w:rFonts w:ascii="Arial" w:hAnsi="Arial" w:cs="Arial"/>
                <w:bCs/>
                <w:iCs/>
                <w:szCs w:val="24"/>
                <w:lang w:val="x-none"/>
              </w:rPr>
              <w:t>. Dz.U. z 2023r. poz. 1570)</w:t>
            </w:r>
            <w:r w:rsidRPr="00AC6C36">
              <w:rPr>
                <w:rFonts w:ascii="Arial" w:hAnsi="Arial" w:cs="Arial"/>
                <w:bCs/>
                <w:iCs/>
                <w:szCs w:val="24"/>
              </w:rPr>
              <w:t>.</w:t>
            </w:r>
          </w:p>
          <w:p w:rsidR="00261813" w:rsidRDefault="00196959" w:rsidP="00196959">
            <w:pPr>
              <w:pStyle w:val="Tekstpodstawowy"/>
              <w:numPr>
                <w:ilvl w:val="0"/>
                <w:numId w:val="3"/>
              </w:numPr>
              <w:tabs>
                <w:tab w:val="left" w:pos="284"/>
              </w:tabs>
              <w:ind w:left="0" w:hanging="284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Zgodnie z treścią  przepisu art. 83 ust. 1 pkt. 26 lit. a ustawy o podatku od towarów i usług z dnia 11 marca 2004r. w związku z ust. 14 pkt. 1 powyższego artykułu Wykonawca zobowiązany jest do  zastosowania 0 stawki podatku VAT pod warunkiem </w:t>
            </w:r>
            <w:r>
              <w:rPr>
                <w:rFonts w:ascii="Arial" w:hAnsi="Arial" w:cs="Arial"/>
                <w:szCs w:val="24"/>
              </w:rPr>
              <w:lastRenderedPageBreak/>
              <w:t>posiadania stosownego zamówienia potwierdzonego przez organ nadzorujący Zamawiającego tj. przez Ministerstwo Edukacji i Nauki. W razie wystąpienia takiej sytuacji wynagrodzenie Wykonawcy ulegnie zmniejszeniu wynikającego z zastosowania 0% VAT na poszczególne elementy przedmiotu umowy.</w:t>
            </w:r>
            <w:r w:rsidR="00AC6C36">
              <w:rPr>
                <w:rFonts w:ascii="Arial" w:hAnsi="Arial" w:cs="Arial"/>
                <w:szCs w:val="24"/>
              </w:rPr>
              <w:t xml:space="preserve"> </w:t>
            </w:r>
          </w:p>
          <w:p w:rsidR="00196959" w:rsidRDefault="001120D4" w:rsidP="00196959">
            <w:pPr>
              <w:pStyle w:val="Tekstpodstawowy"/>
              <w:numPr>
                <w:ilvl w:val="0"/>
                <w:numId w:val="3"/>
              </w:numPr>
              <w:tabs>
                <w:tab w:val="left" w:pos="284"/>
              </w:tabs>
              <w:ind w:left="0" w:hanging="284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Zamawiający</w:t>
            </w:r>
            <w:r w:rsidR="00261813">
              <w:rPr>
                <w:rFonts w:ascii="Arial" w:hAnsi="Arial" w:cs="Arial"/>
                <w:szCs w:val="24"/>
              </w:rPr>
              <w:t xml:space="preserve"> dopiero</w:t>
            </w:r>
            <w:r>
              <w:rPr>
                <w:rFonts w:ascii="Arial" w:hAnsi="Arial" w:cs="Arial"/>
                <w:szCs w:val="24"/>
              </w:rPr>
              <w:t xml:space="preserve"> po udzieleniu zamówienia występuje do Ministerstwa Edukacji i Nauki o wystawienie zgody na zastosowanie 0 stawki podatku VAT.</w:t>
            </w:r>
          </w:p>
          <w:p w:rsidR="00D46D70" w:rsidRDefault="00D46D70" w:rsidP="00C10B97">
            <w:pPr>
              <w:spacing w:line="360" w:lineRule="auto"/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  <w:lang w:eastAsia="en-US"/>
              </w:rPr>
            </w:pPr>
          </w:p>
          <w:p w:rsidR="00C10B97" w:rsidRPr="00D46D70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46D70">
              <w:rPr>
                <w:rFonts w:ascii="Arial" w:eastAsia="Aptos" w:hAnsi="Arial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Pytanie nr 3: </w:t>
            </w:r>
          </w:p>
          <w:p w:rsidR="00C10B97" w:rsidRPr="00C10B97" w:rsidRDefault="00C10B97" w:rsidP="00C10B97">
            <w:pPr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 xml:space="preserve">W świetle wyroku TSUE z dnia 22 października 2024 r. w sprawie C-652/22 „Kolin” oraz oficjalnych publikacji na stronach internetowych Urzędu Zamówień Publicznych, dotyczących udziału wykonawców z państw trzecich, w świetle wyroku TSUE w sprawie C-652/22, </w:t>
            </w:r>
            <w:r w:rsidRPr="00C10B97">
              <w:rPr>
                <w:rFonts w:ascii="Arial" w:eastAsia="Aptos" w:hAnsi="Arial" w:cs="Arial"/>
                <w:b/>
                <w:kern w:val="2"/>
                <w:sz w:val="24"/>
                <w:szCs w:val="24"/>
                <w:lang w:eastAsia="en-US"/>
              </w:rPr>
              <w:t>gdzie wskazano wprost</w:t>
            </w: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:</w:t>
            </w:r>
          </w:p>
          <w:p w:rsidR="00C10B97" w:rsidRPr="00C10B97" w:rsidRDefault="00C10B97" w:rsidP="00C10B97">
            <w:pPr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kern w:val="2"/>
                <w:sz w:val="24"/>
                <w:szCs w:val="24"/>
                <w:lang w:eastAsia="en-US"/>
              </w:rPr>
              <w:t>„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Zważywszy, że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lang w:eastAsia="en-US"/>
              </w:rPr>
              <w:t>wykonawcom z państw trzecich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, które nie zawarły z Unią umowy międzynarodowej gwarantującej równy i wzajemny dostęp do zamówień publicznych,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lang w:eastAsia="en-US"/>
              </w:rPr>
              <w:t>nie przysługuje prawo do „nie mniej korzystnego traktowania”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 na podstawie art. 25 dyrektywy 2014/24/UE i art. 43 dyrektywy 2014/25/UE,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lang w:eastAsia="en-US"/>
              </w:rPr>
              <w:t>zamawiający może przedstawić w  dokumentach zamówienia warunki traktowania, które mają odzwierciedlać obiektywną różnicę między sytuacją prawną tych wykonawców a sytuacją prawną wykonawców unijnych i wykonawców z państw trzecich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>, które zawarły z Unią Europejską taką umowę w rozumieniu przepisów art. 25 dyrektywy 2014/24/UE i art. 43 dyrektywy 2014/25/UE.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b/>
                <w:i/>
                <w:sz w:val="24"/>
                <w:szCs w:val="24"/>
                <w:lang w:eastAsia="en-US"/>
              </w:rPr>
              <w:t>Do zamawiającego należy również dokonanie oceny</w:t>
            </w:r>
            <w:r w:rsidRPr="00C10B97">
              <w:rPr>
                <w:rFonts w:ascii="Arial" w:eastAsia="Aptos" w:hAnsi="Arial" w:cs="Arial"/>
                <w:i/>
                <w:sz w:val="24"/>
                <w:szCs w:val="24"/>
                <w:lang w:eastAsia="en-US"/>
              </w:rPr>
              <w:t xml:space="preserve">, czy wykonawcy z państw trzecich, które nie zawarły z Unią umowy międzynarodowej gwarantującej równy i wzajemny dostęp do zamówień publicznych i koncesji, </w:t>
            </w:r>
            <w:r w:rsidRPr="00C10B97">
              <w:rPr>
                <w:rFonts w:ascii="Arial" w:eastAsia="Aptos" w:hAnsi="Arial" w:cs="Arial"/>
                <w:b/>
                <w:i/>
                <w:sz w:val="24"/>
                <w:szCs w:val="24"/>
                <w:lang w:eastAsia="en-US"/>
              </w:rPr>
              <w:t>mogą uczestniczyć w postępowaniu w charakterze podmiotu udostępniającego zasoby, członka konsorcjum lub podwykonawcy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.” (źródło: publikacja Urzędu Zamówień Publicznych pt. Udział wykonawców z państw trzecich w świetle wyroku TSUE z dnia 22 października 2024 r. w sprawie C-652/22 „Kolin” </w:t>
            </w:r>
            <w:hyperlink r:id="rId7" w:history="1">
              <w:r w:rsidRPr="00C10B97">
                <w:rPr>
                  <w:rFonts w:ascii="Arial" w:eastAsia="Aptos" w:hAnsi="Arial" w:cs="Arial"/>
                  <w:color w:val="467886"/>
                  <w:sz w:val="24"/>
                  <w:szCs w:val="24"/>
                  <w:u w:val="single"/>
                  <w:lang w:eastAsia="en-US"/>
                </w:rPr>
                <w:t>https://www.gov.pl/web/uzp/udzial-</w:t>
              </w:r>
              <w:r w:rsidRPr="00C10B97">
                <w:rPr>
                  <w:rFonts w:ascii="Arial" w:eastAsia="Aptos" w:hAnsi="Arial" w:cs="Arial"/>
                  <w:color w:val="467886"/>
                  <w:sz w:val="24"/>
                  <w:szCs w:val="24"/>
                  <w:u w:val="single"/>
                  <w:lang w:eastAsia="en-US"/>
                </w:rPr>
                <w:lastRenderedPageBreak/>
                <w:t>wykonawcow-z-panstw-trzecich-w-swietle-wyroku-tsue-z-dnia-22-pazdziernika-2024-r-w-sprawie-c-65222-kolin2</w:t>
              </w:r>
            </w:hyperlink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);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(…)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jak również, </w:t>
            </w:r>
            <w:r w:rsidRPr="00C10B97">
              <w:rPr>
                <w:rFonts w:ascii="Arial" w:eastAsia="Aptos" w:hAnsi="Arial" w:cs="Arial"/>
                <w:i/>
                <w:sz w:val="24"/>
                <w:szCs w:val="24"/>
                <w:lang w:eastAsia="en-US"/>
              </w:rPr>
              <w:t xml:space="preserve">Urząd Zamówień Publicznych wskazuje na 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„</w:t>
            </w:r>
            <w:r w:rsidRPr="00C10B97">
              <w:rPr>
                <w:rFonts w:ascii="Arial" w:eastAsia="Aptos" w:hAnsi="Arial" w:cs="Arial"/>
                <w:b/>
                <w:bCs/>
                <w:i/>
                <w:sz w:val="24"/>
                <w:szCs w:val="24"/>
                <w:lang w:eastAsia="en-US"/>
              </w:rPr>
              <w:t xml:space="preserve">najważniejsze skutki wyroku Trybunału dla postępowań prowadzonych na podstawie ustawy </w:t>
            </w:r>
            <w:proofErr w:type="spellStart"/>
            <w:r w:rsidRPr="00C10B97">
              <w:rPr>
                <w:rFonts w:ascii="Arial" w:eastAsia="Aptos" w:hAnsi="Arial" w:cs="Arial"/>
                <w:b/>
                <w:bCs/>
                <w:i/>
                <w:sz w:val="24"/>
                <w:szCs w:val="24"/>
                <w:lang w:eastAsia="en-US"/>
              </w:rPr>
              <w:t>Pzp</w:t>
            </w:r>
            <w:proofErr w:type="spellEnd"/>
            <w:r w:rsidRPr="00C10B97">
              <w:rPr>
                <w:rFonts w:ascii="Arial" w:eastAsia="Aptos" w:hAnsi="Arial" w:cs="Arial"/>
                <w:b/>
                <w:bCs/>
                <w:sz w:val="24"/>
                <w:szCs w:val="24"/>
                <w:lang w:eastAsia="en-US"/>
              </w:rPr>
              <w:t>”:</w:t>
            </w:r>
          </w:p>
          <w:p w:rsidR="00C10B97" w:rsidRPr="00C10B97" w:rsidRDefault="00C10B97" w:rsidP="00C10B97">
            <w:pPr>
              <w:numPr>
                <w:ilvl w:val="0"/>
                <w:numId w:val="2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Zamawiający w postępowaniu o udzielenie zamówienia publicznego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lang w:eastAsia="en-US"/>
              </w:rPr>
              <w:t>są uprawnieni do ograniczenia dostępu do zamówień wykonawcom z państw trzecich, z którymi Unia Europejska nie jest związana żadną umową międzynarodową gwarantującą na zasadzie wzajemności i równości dostęp do rynku zamówień publicznych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. Ograniczenie to może polegać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u w:val="single"/>
                <w:lang w:eastAsia="en-US"/>
              </w:rPr>
              <w:t>na niedopuszczeniu do udziału w postępowaniu, jak i  na zróżnicowaniu w traktowaniu takiego podmiotu w postępowaniu o udzielenie zamówienia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. </w:t>
            </w:r>
          </w:p>
          <w:p w:rsidR="00C10B97" w:rsidRPr="00C10B97" w:rsidRDefault="00C10B97" w:rsidP="00C10B97">
            <w:pPr>
              <w:spacing w:before="120" w:line="360" w:lineRule="auto"/>
              <w:ind w:left="714"/>
              <w:contextualSpacing/>
              <w:jc w:val="both"/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>(…)</w:t>
            </w:r>
          </w:p>
          <w:p w:rsidR="00C10B97" w:rsidRPr="00C10B97" w:rsidRDefault="00C10B97" w:rsidP="00C10B97">
            <w:pPr>
              <w:numPr>
                <w:ilvl w:val="0"/>
                <w:numId w:val="2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Jeśli zamawiający zdecyduje się na </w:t>
            </w:r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u w:val="single"/>
                <w:lang w:eastAsia="en-US"/>
              </w:rPr>
              <w:t xml:space="preserve">niedopuszczenie do udziału wykonawców z państw trzecich, z którymi Unia Europejska nie jest związana żadną umową międzynarodową gwarantującą na zasadzie wzajemności i równości dostęp do rynku zamówień publicznych i wskaże to w dokumentach zamówienia, to wniosek (oferta) pochodzący od takiego wykonawcy podlegać będzie odrzuceniu na podstawie art. 226 ust. 1 pkt 5 ustawy </w:t>
            </w:r>
            <w:proofErr w:type="spellStart"/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u w:val="single"/>
                <w:lang w:eastAsia="en-US"/>
              </w:rPr>
              <w:t>Pzp</w:t>
            </w:r>
            <w:proofErr w:type="spellEnd"/>
            <w:r w:rsidRPr="00C10B97">
              <w:rPr>
                <w:rFonts w:ascii="Arial" w:eastAsia="Aptos" w:hAnsi="Arial" w:cs="Arial"/>
                <w:b/>
                <w:i/>
                <w:kern w:val="2"/>
                <w:sz w:val="24"/>
                <w:szCs w:val="24"/>
                <w:u w:val="single"/>
                <w:lang w:eastAsia="en-US"/>
              </w:rPr>
              <w:t xml:space="preserve"> (tj. z powodu niezgodności z warunkami zamówienia)</w:t>
            </w:r>
            <w:r w:rsidRPr="00C10B97">
              <w:rPr>
                <w:rFonts w:ascii="Arial" w:eastAsia="Aptos" w:hAnsi="Arial" w:cs="Arial"/>
                <w:i/>
                <w:kern w:val="2"/>
                <w:sz w:val="24"/>
                <w:szCs w:val="24"/>
                <w:lang w:eastAsia="en-US"/>
              </w:rPr>
              <w:t xml:space="preserve">. 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Wykonawca, mając powyższe na uwadze, </w:t>
            </w:r>
            <w:r w:rsidRPr="00C10B97">
              <w:rPr>
                <w:rFonts w:ascii="Arial" w:eastAsia="Aptos" w:hAnsi="Arial" w:cs="Arial"/>
                <w:b/>
                <w:sz w:val="24"/>
                <w:szCs w:val="24"/>
                <w:lang w:eastAsia="en-US"/>
              </w:rPr>
              <w:t>wnosi o ujęcie w SWZ zapisów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, zgodnie z którymi:</w:t>
            </w:r>
          </w:p>
          <w:p w:rsidR="00C10B97" w:rsidRPr="00C10B97" w:rsidRDefault="00C10B97" w:rsidP="00C10B97">
            <w:pPr>
              <w:spacing w:line="360" w:lineRule="auto"/>
              <w:ind w:left="700" w:hanging="700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 xml:space="preserve">Zamawiający </w:t>
            </w:r>
            <w:r w:rsidRPr="00C10B97">
              <w:rPr>
                <w:rFonts w:ascii="Arial" w:eastAsia="Aptos" w:hAnsi="Arial" w:cs="Arial"/>
                <w:b/>
                <w:sz w:val="24"/>
                <w:szCs w:val="24"/>
                <w:lang w:eastAsia="en-US"/>
              </w:rPr>
              <w:t xml:space="preserve">nie dopuszcza do udziału w niniejszym postępowaniu w charakterze wykonawcy, wykonawcy wspólnie ubiegającego się o zamówienie, członka konsorcjum, podwykonawcy, podmiotu udzielającego wsparcia, następujących podmiotów: </w:t>
            </w:r>
          </w:p>
          <w:p w:rsidR="00C10B97" w:rsidRPr="00C10B97" w:rsidRDefault="00C10B97" w:rsidP="00C10B97">
            <w:pPr>
              <w:spacing w:line="360" w:lineRule="auto"/>
              <w:ind w:left="1416" w:hanging="716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lastRenderedPageBreak/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>Podmiotów z państw trzecich, z którymi Unia Europejska nie jest związana żadną umową międzynarodową gwarantującą na zasadzie wzajemności i równości dostęp do rynku zamówień publicznych.</w:t>
            </w:r>
          </w:p>
          <w:p w:rsidR="00C10B97" w:rsidRPr="00C10B97" w:rsidRDefault="00C10B97" w:rsidP="00C10B97">
            <w:pPr>
              <w:spacing w:line="360" w:lineRule="auto"/>
              <w:ind w:left="700" w:hanging="700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>Równocześnie Zamawiający wskazuje, że wniosek (oferta) pochodzący od takiego wykonawcy (odpowiednio – składany jako konsorcjum, wykonawcy wspólnie ubiegającego się o zamówienie, czy też wykonawcy uprawnionego, ale wskazującego na takiego podwykonawcę, czy też podmiot udzielający mu wsparcia), podlegać będzie odrzuceniu (tj. z powodu niezgodności z warunkami zamówienia).</w:t>
            </w:r>
          </w:p>
          <w:p w:rsidR="00C10B97" w:rsidRPr="00C10B97" w:rsidRDefault="00C10B97" w:rsidP="00C10B97">
            <w:pPr>
              <w:spacing w:line="360" w:lineRule="auto"/>
              <w:ind w:left="700" w:hanging="700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-</w:t>
            </w: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ab/>
              <w:t xml:space="preserve">Powyższe oznacza m.in. także, że </w:t>
            </w:r>
            <w:r w:rsidRPr="00C10B97">
              <w:rPr>
                <w:rFonts w:ascii="Arial" w:eastAsia="Aptos" w:hAnsi="Arial" w:cs="Arial"/>
                <w:bCs/>
                <w:sz w:val="24"/>
                <w:szCs w:val="24"/>
                <w:lang w:eastAsia="en-US"/>
              </w:rPr>
              <w:t>Zamawiający nie dopuszcza możliwości powoływania się przez wykonawców (a także wykonawców wspólnie ubiegających się o zamówienie, z których przynajmniej jeden jest) z siedzibą (odpowiednio: z miejscem zamieszkania) w państwie członkowskim Unii Europejskiej,  państwie Europejskiego Obszaru Gospodarczego, państwie-stronie Porozumienia w sprawie zamówień rządowych {GPA} zawartego w ramach Światowej Organizacji Handlu lub państwie-stronie umowy zawartej z Unią Europejską regulującej wzajemny dostęp do zamówień  publicznych, na zdolności techniczne lub zawodowe lub sytuację finansową lub ekonomiczną na zasadach opisanych w art. 118 i nast. Prawa zamówień publicznych, podmiotów z siedzibą  (odpowiednio: z miejscem zamieszkania) w państwach innych niż państwo członkowskie Unii Europejskiej, państwo Europejskiego Obszaru Gospodarczego, państwo-strona Porozumienia w sprawie zamówień rządowych {GPA} zawartego w ramach Światowej Organizacji Handlu lub państwo-strona umowy zawartej z Unią Europejską regulującej wzajemny dostęp do zamówień publicznych</w:t>
            </w:r>
            <w:r w:rsidRPr="00C10B97">
              <w:rPr>
                <w:rFonts w:ascii="Arial" w:eastAsia="Aptos" w:hAnsi="Arial" w:cs="Arial"/>
                <w:b/>
                <w:bCs/>
                <w:sz w:val="24"/>
                <w:szCs w:val="24"/>
                <w:lang w:eastAsia="en-US"/>
              </w:rPr>
              <w:t>.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Uzasadnienie w/w wniosku płynie z ochrony rynku, ale także ochrony przed nieuczciwą konkurencją firm, które w łańcuchu dostaw, nie muszą dbać o regulacje środowiskowe, ochrony rynku pracy (np. minimalne wynagrodzenie), czy też ochrony </w:t>
            </w:r>
            <w:proofErr w:type="spellStart"/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lastRenderedPageBreak/>
              <w:t>prawnoautorskiej</w:t>
            </w:r>
            <w:proofErr w:type="spellEnd"/>
            <w:r w:rsidRPr="00C10B97">
              <w:rPr>
                <w:rFonts w:ascii="Arial" w:eastAsia="Aptos" w:hAnsi="Arial" w:cs="Arial"/>
                <w:sz w:val="24"/>
                <w:szCs w:val="24"/>
                <w:lang w:eastAsia="en-US"/>
              </w:rPr>
              <w:t>. Aktualna jest także uwaga jak w Pytaniu nr 1, gdzie podmioty udzielające wsparcia z rynku Chińskiego, niezweryfikowani producenci, przedstawiają oświadczenia „pod wynik”, czyli takie, jakie akurat jest potrzebne w postępowaniu, bo adresat, Zamawiający, nie jest w stanie zweryfikować prawdziwości takich oświadczeń.</w:t>
            </w:r>
          </w:p>
          <w:p w:rsidR="00C10B97" w:rsidRPr="00C10B97" w:rsidRDefault="00C10B97" w:rsidP="00C10B97">
            <w:pPr>
              <w:spacing w:line="360" w:lineRule="auto"/>
              <w:jc w:val="both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</w:p>
          <w:p w:rsidR="00C10B97" w:rsidRPr="00D46D70" w:rsidRDefault="00C10B97" w:rsidP="00C10B9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46D70">
              <w:rPr>
                <w:rFonts w:ascii="Arial" w:hAnsi="Arial" w:cs="Arial"/>
                <w:b/>
                <w:sz w:val="24"/>
                <w:szCs w:val="24"/>
                <w:u w:val="single"/>
              </w:rPr>
              <w:t>Odpowiedź</w:t>
            </w:r>
          </w:p>
          <w:p w:rsidR="0079400E" w:rsidRDefault="00AC6C36" w:rsidP="00C10B9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obowiązującymi przepisami co również znajduje potwierdzenie w stanowisku Urzędu Zamówień Publicznych</w:t>
            </w:r>
            <w:r w:rsidR="00261690">
              <w:rPr>
                <w:rFonts w:ascii="Arial" w:hAnsi="Arial" w:cs="Arial"/>
                <w:sz w:val="24"/>
                <w:szCs w:val="24"/>
              </w:rPr>
              <w:t>, w</w:t>
            </w:r>
            <w:r w:rsidR="00F60486" w:rsidRPr="00F60486">
              <w:rPr>
                <w:rFonts w:ascii="Arial" w:hAnsi="Arial" w:cs="Arial"/>
                <w:sz w:val="24"/>
                <w:szCs w:val="24"/>
              </w:rPr>
              <w:t xml:space="preserve"> przypadku, gdy zamawiający nie dopuszcza do udziału w postępowaniu o udzielenie zamówienia publicznego wykonawców z „państw trzecich niebędących stronami umów międzynarodowych”, nie musi takiej informacji wskazywać w dokumentach zamówienia ani w ogłoszeniu o zamówieniu. Znowelizowane przepisy przewidują, że wykonawcy z „państw trzecich niebędących stronami umów międzynarodowych” nie mają zapewnionego dostępu do unijnego rynku zamówień publicznych, a decyzja w zakresie dopuszczenia i zasad udziału takich wykonawców w postępowaniu o udzielenie zamówienia publicznego należy do zamawiającego. Innymi słowy, jeżeli zamawiający nie określi w dokumentach zamówienia lub ogłoszeniu o zamówieniu, że dopuszcza do udziału w postępowaniu wykonawców pochodzących z „państw trzecich niebędących stronami umów międzynarodowych”, oznacza to, że tacy wykonawcy nie będą mogli ubiegać się o udzielenie zamówienia publicznego.</w:t>
            </w:r>
            <w:r w:rsidR="00F6048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00E">
              <w:rPr>
                <w:rFonts w:ascii="Arial" w:hAnsi="Arial" w:cs="Arial"/>
                <w:sz w:val="24"/>
                <w:szCs w:val="24"/>
              </w:rPr>
              <w:t>Jeżeli zamawiający w dokumentach zamówienia lub ogłoszeniu o zamówieniu nie zawrze żadnych postanowień dotyczących udziału wykonawców/wykonawców wspólnie ubiegających się o udzielenie zamówienia/podmiotów udostępniających zasoby/podwykonawców/dalszych podwykonawców pochodzących z „państw trzecich niebędących stronami umów międzynarodowych” – będzie to oznaczało, że zgodnie z decyzją zamawiającego: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  <w:r w:rsidRPr="0079400E">
              <w:rPr>
                <w:rFonts w:ascii="Arial" w:hAnsi="Arial" w:cs="Arial"/>
                <w:sz w:val="24"/>
                <w:szCs w:val="24"/>
              </w:rPr>
              <w:t xml:space="preserve">    o udzielenie zamówienia nie będą mogli ubiegać się wykonawcy z  „państw trzecich niebędących stronami umów międzynarodowych”;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0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9400E">
              <w:rPr>
                <w:rFonts w:ascii="Arial" w:hAnsi="Arial" w:cs="Arial"/>
                <w:sz w:val="24"/>
                <w:szCs w:val="24"/>
              </w:rPr>
              <w:t xml:space="preserve">   o udzielenie zamówienia nie będą mogli ubiegać się wykonawcy wspólnie z wykonawcami pochodzącymi z „państw trzecich niebędących stronami umów międzynarodowych”;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9400E">
              <w:rPr>
                <w:rFonts w:ascii="Arial" w:hAnsi="Arial" w:cs="Arial"/>
                <w:sz w:val="24"/>
                <w:szCs w:val="24"/>
              </w:rPr>
              <w:t xml:space="preserve">    wykonawcy nie będą mogli polegać na zdolnościach lub sytuacji podmiotów udostępniających zasoby, o których mowa w art. 118 ust. 1 ustawy </w:t>
            </w:r>
            <w:proofErr w:type="spellStart"/>
            <w:r w:rsidRPr="0079400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9400E">
              <w:rPr>
                <w:rFonts w:ascii="Arial" w:hAnsi="Arial" w:cs="Arial"/>
                <w:sz w:val="24"/>
                <w:szCs w:val="24"/>
              </w:rPr>
              <w:t>, pochodzących z „państw trzecich niebędących stronami umów międzynarodowych”;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0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9400E">
              <w:rPr>
                <w:rFonts w:ascii="Arial" w:hAnsi="Arial" w:cs="Arial"/>
                <w:sz w:val="24"/>
                <w:szCs w:val="24"/>
              </w:rPr>
              <w:t xml:space="preserve"> wykonawcy nie będą mogli powierzyć wykonania części zamówienia podwykonawcom pochodzącym z „państw trzecich niebędących stronami umów międzynarodowych”;</w:t>
            </w:r>
          </w:p>
          <w:p w:rsidR="0079400E" w:rsidRPr="0079400E" w:rsidRDefault="0079400E" w:rsidP="007940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0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9400E">
              <w:rPr>
                <w:rFonts w:ascii="Arial" w:hAnsi="Arial" w:cs="Arial"/>
                <w:sz w:val="24"/>
                <w:szCs w:val="24"/>
              </w:rPr>
              <w:t xml:space="preserve">   podwykonawcy nie będą mogli powierzyć wykonania części zamówienia dalszym podwykonawcom pochodzącym z „państw trzecich niebędących stronami umów międzynarodowych”.</w:t>
            </w:r>
          </w:p>
          <w:p w:rsidR="00C10B97" w:rsidRDefault="00F60486" w:rsidP="00C10B9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związku z powyższym Zamawiający nie widzi konieczności zmiany zapisów w dokumentach przetargowych.</w:t>
            </w:r>
          </w:p>
          <w:p w:rsidR="00F60486" w:rsidRPr="00C10B97" w:rsidRDefault="00F60486" w:rsidP="00C10B9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C10B97" w:rsidRPr="00C10B97" w:rsidRDefault="00C10B97" w:rsidP="00C10B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0B97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 oraz art. 284 ust. 3, przedłuża termin składania ofert do dnia </w:t>
      </w:r>
      <w:r w:rsidRPr="00C10B97">
        <w:rPr>
          <w:rFonts w:ascii="Arial" w:hAnsi="Arial" w:cs="Arial"/>
          <w:b/>
          <w:sz w:val="24"/>
          <w:szCs w:val="24"/>
        </w:rPr>
        <w:t>18.11.2025 r. do godz. 10:30</w:t>
      </w:r>
      <w:r w:rsidRPr="00C10B97">
        <w:rPr>
          <w:rFonts w:ascii="Arial" w:hAnsi="Arial" w:cs="Arial"/>
          <w:sz w:val="24"/>
          <w:szCs w:val="24"/>
        </w:rPr>
        <w:t xml:space="preserve">. Oferty należy składać za pośrednictwem Platformy https://e-ProPublico.pl/, Otwarcie ofert nastąpi tego samego dnia, tj. </w:t>
      </w:r>
      <w:r w:rsidRPr="00C10B97">
        <w:rPr>
          <w:rFonts w:ascii="Arial" w:hAnsi="Arial" w:cs="Arial"/>
          <w:b/>
          <w:sz w:val="24"/>
          <w:szCs w:val="24"/>
        </w:rPr>
        <w:t>18.11.2025 r. o godz. 11:05</w:t>
      </w:r>
      <w:r w:rsidRPr="00C10B97">
        <w:rPr>
          <w:rFonts w:ascii="Arial" w:hAnsi="Arial" w:cs="Arial"/>
          <w:sz w:val="24"/>
          <w:szCs w:val="24"/>
        </w:rPr>
        <w:t xml:space="preserve"> za pośrednictwem Platformy. </w:t>
      </w:r>
    </w:p>
    <w:p w:rsidR="00C10B97" w:rsidRPr="00C10B97" w:rsidRDefault="00C10B97" w:rsidP="00C10B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0B97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C10B97">
        <w:rPr>
          <w:rFonts w:ascii="Arial" w:hAnsi="Arial" w:cs="Arial"/>
          <w:b/>
          <w:sz w:val="24"/>
          <w:szCs w:val="24"/>
        </w:rPr>
        <w:t>2025-12-17</w:t>
      </w:r>
      <w:r w:rsidRPr="00C10B97">
        <w:rPr>
          <w:rFonts w:ascii="Arial" w:hAnsi="Arial" w:cs="Arial"/>
          <w:sz w:val="24"/>
          <w:szCs w:val="24"/>
        </w:rPr>
        <w:t>.</w:t>
      </w:r>
    </w:p>
    <w:p w:rsidR="00C10B97" w:rsidRPr="00C10B97" w:rsidRDefault="00C10B97" w:rsidP="00C10B9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10B97" w:rsidRPr="00C10B97" w:rsidRDefault="00C10B97" w:rsidP="00C10B9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10B97" w:rsidRPr="00C10B97" w:rsidRDefault="00C10B97" w:rsidP="00C10B9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C10B97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5C0930" w:rsidRPr="00E02559" w:rsidRDefault="00C10B97" w:rsidP="00F60486">
      <w:pPr>
        <w:spacing w:after="600" w:line="360" w:lineRule="auto"/>
        <w:jc w:val="right"/>
        <w:rPr>
          <w:szCs w:val="24"/>
        </w:rPr>
      </w:pPr>
      <w:r w:rsidRPr="00C10B97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sectPr w:rsidR="005C0930" w:rsidRPr="00E02559" w:rsidSect="00C10B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0F0" w:rsidRDefault="00E850F0">
      <w:r>
        <w:separator/>
      </w:r>
    </w:p>
  </w:endnote>
  <w:endnote w:type="continuationSeparator" w:id="0">
    <w:p w:rsidR="00E850F0" w:rsidRDefault="00E8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B97" w:rsidRPr="00AD2EFB" w:rsidRDefault="0079400E" w:rsidP="00C10B9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6FB73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10B97" w:rsidRPr="00AD2EFB" w:rsidTr="00DE4C30">
      <w:tc>
        <w:tcPr>
          <w:tcW w:w="0" w:type="auto"/>
          <w:shd w:val="clear" w:color="auto" w:fill="auto"/>
          <w:vAlign w:val="center"/>
        </w:tcPr>
        <w:p w:rsidR="00C10B97" w:rsidRPr="00AD2EFB" w:rsidRDefault="00C10B97" w:rsidP="00C10B9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0B97" w:rsidRPr="00AD2EFB" w:rsidRDefault="00C10B97" w:rsidP="00C10B9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D2EF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D2EF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10B97" w:rsidRPr="00AD2EFB" w:rsidRDefault="00C10B97" w:rsidP="00C10B9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10B97" w:rsidRPr="00AD2EFB" w:rsidRDefault="00C10B97" w:rsidP="00C10B9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10B97" w:rsidRPr="00AD2EFB" w:rsidRDefault="00C10B97" w:rsidP="00C10B97">
    <w:pPr>
      <w:spacing w:line="276" w:lineRule="auto"/>
      <w:rPr>
        <w:rFonts w:ascii="Roboto" w:hAnsi="Roboto"/>
        <w:b/>
        <w:bCs/>
        <w:sz w:val="22"/>
        <w:szCs w:val="22"/>
      </w:rPr>
    </w:pPr>
    <w:r w:rsidRPr="00AD2EF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10B97" w:rsidRPr="00AD2EFB" w:rsidRDefault="0079400E" w:rsidP="00C10B97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0B97" w:rsidRPr="00AD2EFB">
      <w:rPr>
        <w:rFonts w:ascii="Roboto" w:hAnsi="Roboto"/>
        <w:sz w:val="22"/>
        <w:szCs w:val="22"/>
      </w:rPr>
      <w:t>ul. Gen. J.H. Dąbrowskiego 69, 42-201 Częstochowa</w:t>
    </w:r>
  </w:p>
  <w:p w:rsidR="00C10B97" w:rsidRPr="00AD2EFB" w:rsidRDefault="00C10B97" w:rsidP="00C10B97">
    <w:pPr>
      <w:spacing w:line="276" w:lineRule="auto"/>
      <w:rPr>
        <w:rFonts w:ascii="Roboto" w:hAnsi="Roboto"/>
        <w:noProof/>
        <w:sz w:val="22"/>
        <w:szCs w:val="22"/>
      </w:rPr>
    </w:pPr>
    <w:r w:rsidRPr="00AD2EFB">
      <w:rPr>
        <w:rFonts w:ascii="Roboto" w:hAnsi="Roboto"/>
        <w:sz w:val="22"/>
        <w:szCs w:val="22"/>
      </w:rPr>
      <w:t>tel. +48 34 325 02 56, e-mail: dyrektor.inwestycji@pcz.pl</w:t>
    </w:r>
  </w:p>
  <w:p w:rsidR="00C10B97" w:rsidRPr="00AD2EFB" w:rsidRDefault="00C10B97" w:rsidP="00C10B97">
    <w:pPr>
      <w:rPr>
        <w:rFonts w:ascii="Roboto" w:hAnsi="Roboto"/>
        <w:b/>
        <w:color w:val="F07E26"/>
        <w:sz w:val="24"/>
        <w:szCs w:val="24"/>
      </w:rPr>
    </w:pPr>
    <w:r w:rsidRPr="00AD2EFB">
      <w:rPr>
        <w:rFonts w:ascii="Roboto" w:hAnsi="Roboto"/>
        <w:b/>
        <w:sz w:val="22"/>
        <w:szCs w:val="22"/>
      </w:rPr>
      <w:t>www.pcz.pl</w:t>
    </w:r>
    <w:r w:rsidR="0079400E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9525" b="18415"/>
              <wp:wrapNone/>
              <wp:docPr id="6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527201" id="Łącznik prosty ze strzałką 2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:rsidR="00EF1037" w:rsidRPr="00554D72" w:rsidRDefault="00C10B97" w:rsidP="00C10B97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  <w:r w:rsidR="00554D72" w:rsidRPr="00B862CC">
      <w:rPr>
        <w:rFonts w:ascii="Arial" w:hAnsi="Arial"/>
        <w:sz w:val="18"/>
        <w:szCs w:val="24"/>
      </w:rPr>
      <w:tab/>
      <w:t xml:space="preserve">Strona: 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PAGE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FD2214">
      <w:rPr>
        <w:rFonts w:ascii="Arial" w:hAnsi="Arial"/>
        <w:noProof/>
        <w:sz w:val="18"/>
        <w:szCs w:val="24"/>
      </w:rPr>
      <w:t>8</w:t>
    </w:r>
    <w:r w:rsidR="00554D72" w:rsidRPr="00B862CC">
      <w:rPr>
        <w:rFonts w:ascii="Arial" w:hAnsi="Arial"/>
        <w:sz w:val="18"/>
        <w:szCs w:val="24"/>
      </w:rPr>
      <w:fldChar w:fldCharType="end"/>
    </w:r>
    <w:r w:rsidR="00554D72" w:rsidRPr="00B862CC">
      <w:rPr>
        <w:rFonts w:ascii="Arial" w:hAnsi="Arial"/>
        <w:sz w:val="18"/>
        <w:szCs w:val="24"/>
      </w:rPr>
      <w:t>/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NUMPAGES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FD2214">
      <w:rPr>
        <w:rFonts w:ascii="Arial" w:hAnsi="Arial"/>
        <w:noProof/>
        <w:sz w:val="18"/>
        <w:szCs w:val="24"/>
      </w:rPr>
      <w:t>9</w:t>
    </w:r>
    <w:r w:rsidR="00554D7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48D9">
      <w:rPr>
        <w:rStyle w:val="Numerstrony"/>
        <w:noProof/>
      </w:rPr>
      <w:t>9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0F0" w:rsidRDefault="00E850F0">
      <w:r>
        <w:separator/>
      </w:r>
    </w:p>
  </w:footnote>
  <w:footnote w:type="continuationSeparator" w:id="0">
    <w:p w:rsidR="00E850F0" w:rsidRDefault="00E8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7A" w:rsidRDefault="00131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B97" w:rsidRPr="00AD2EFB" w:rsidRDefault="0079400E" w:rsidP="00C10B97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0"/>
          <wp:wrapNone/>
          <wp:docPr id="5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0" t="0" r="9525" b="18415"/>
              <wp:wrapNone/>
              <wp:docPr id="3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94F26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r1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B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DoNbr1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131C7A" w:rsidRDefault="00131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7A" w:rsidRDefault="00131C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60624"/>
    <w:multiLevelType w:val="multilevel"/>
    <w:tmpl w:val="7558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73860"/>
    <w:multiLevelType w:val="hybridMultilevel"/>
    <w:tmpl w:val="A7920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F0"/>
    <w:rsid w:val="00057D02"/>
    <w:rsid w:val="000613E0"/>
    <w:rsid w:val="000852B7"/>
    <w:rsid w:val="001120D4"/>
    <w:rsid w:val="00131C7A"/>
    <w:rsid w:val="00152970"/>
    <w:rsid w:val="001648D9"/>
    <w:rsid w:val="00196959"/>
    <w:rsid w:val="001A571A"/>
    <w:rsid w:val="00261690"/>
    <w:rsid w:val="00261813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9400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C6C36"/>
    <w:rsid w:val="00B26D41"/>
    <w:rsid w:val="00B361A9"/>
    <w:rsid w:val="00BE6573"/>
    <w:rsid w:val="00C10B97"/>
    <w:rsid w:val="00C152AE"/>
    <w:rsid w:val="00CF444F"/>
    <w:rsid w:val="00D1574A"/>
    <w:rsid w:val="00D248D2"/>
    <w:rsid w:val="00D46D70"/>
    <w:rsid w:val="00DE306E"/>
    <w:rsid w:val="00E02559"/>
    <w:rsid w:val="00E32881"/>
    <w:rsid w:val="00E74582"/>
    <w:rsid w:val="00E850F0"/>
    <w:rsid w:val="00EB3650"/>
    <w:rsid w:val="00EF1037"/>
    <w:rsid w:val="00F004A8"/>
    <w:rsid w:val="00F16162"/>
    <w:rsid w:val="00F60486"/>
    <w:rsid w:val="00FA7728"/>
    <w:rsid w:val="00FD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7C9FC45"/>
  <w15:chartTrackingRefBased/>
  <w15:docId w15:val="{4177FFD2-D1B1-45C6-A642-CEC3C5E4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19695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9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v.pl/web/uzp/udzial-wykonawcow-z-panstw-trzecich-w-swietle-wyroku-tsue-z-dnia-22-pazdziernika-2024-r-w-sprawie-c-65222-kolin2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1859</Words>
  <Characters>12557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2025-11-04T06:30:00Z</cp:lastPrinted>
  <dcterms:created xsi:type="dcterms:W3CDTF">2025-11-04T13:09:00Z</dcterms:created>
  <dcterms:modified xsi:type="dcterms:W3CDTF">2025-11-04T13:09:00Z</dcterms:modified>
</cp:coreProperties>
</file>