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948" w:rsidRPr="00132219" w:rsidRDefault="00294948" w:rsidP="00132219">
      <w:pPr>
        <w:spacing w:line="360" w:lineRule="auto"/>
        <w:rPr>
          <w:rFonts w:asciiTheme="majorHAnsi" w:hAnsiTheme="majorHAnsi" w:cstheme="majorHAnsi"/>
          <w:b/>
        </w:rPr>
      </w:pPr>
      <w:r w:rsidRPr="00132219">
        <w:rPr>
          <w:rFonts w:asciiTheme="majorHAnsi" w:hAnsiTheme="majorHAnsi" w:cstheme="majorHAnsi"/>
          <w:b/>
        </w:rPr>
        <w:t>Opis przedmiotu zamówienia</w:t>
      </w:r>
      <w:r w:rsidR="00C477D2" w:rsidRPr="00132219">
        <w:rPr>
          <w:rFonts w:asciiTheme="majorHAnsi" w:hAnsiTheme="majorHAnsi" w:cstheme="majorHAnsi"/>
          <w:b/>
        </w:rPr>
        <w:t xml:space="preserve"> - </w:t>
      </w:r>
      <w:r w:rsidRPr="00132219">
        <w:rPr>
          <w:rFonts w:asciiTheme="majorHAnsi" w:hAnsiTheme="majorHAnsi" w:cstheme="majorHAnsi"/>
          <w:b/>
        </w:rPr>
        <w:t>RZ-DZP.261.</w:t>
      </w:r>
      <w:r w:rsidR="00597E65" w:rsidRPr="00132219">
        <w:rPr>
          <w:rFonts w:asciiTheme="majorHAnsi" w:hAnsiTheme="majorHAnsi" w:cstheme="majorHAnsi"/>
          <w:b/>
        </w:rPr>
        <w:t>45</w:t>
      </w:r>
      <w:r w:rsidRPr="00132219">
        <w:rPr>
          <w:rFonts w:asciiTheme="majorHAnsi" w:hAnsiTheme="majorHAnsi" w:cstheme="majorHAnsi"/>
          <w:b/>
        </w:rPr>
        <w:t>.2025.</w:t>
      </w:r>
      <w:r w:rsidR="00C477D2" w:rsidRPr="00132219">
        <w:rPr>
          <w:rFonts w:asciiTheme="majorHAnsi" w:hAnsiTheme="majorHAnsi" w:cstheme="majorHAnsi"/>
          <w:b/>
        </w:rPr>
        <w:t>JP</w:t>
      </w:r>
      <w:r w:rsidR="004D3D37" w:rsidRPr="00132219">
        <w:rPr>
          <w:rFonts w:asciiTheme="majorHAnsi" w:hAnsiTheme="majorHAnsi" w:cstheme="majorHAnsi"/>
          <w:b/>
        </w:rPr>
        <w:t xml:space="preserve"> – Załącznik nr</w:t>
      </w:r>
      <w:r w:rsidR="0006491E" w:rsidRPr="00132219">
        <w:rPr>
          <w:rFonts w:asciiTheme="majorHAnsi" w:hAnsiTheme="majorHAnsi" w:cstheme="majorHAnsi"/>
          <w:b/>
        </w:rPr>
        <w:t xml:space="preserve"> 5</w:t>
      </w:r>
      <w:r w:rsidR="004D3D37" w:rsidRPr="00132219">
        <w:rPr>
          <w:rFonts w:asciiTheme="majorHAnsi" w:hAnsiTheme="majorHAnsi" w:cstheme="majorHAnsi"/>
          <w:b/>
        </w:rPr>
        <w:t xml:space="preserve"> do SWZ</w:t>
      </w:r>
    </w:p>
    <w:p w:rsidR="00132219" w:rsidRPr="00132219" w:rsidRDefault="00132219" w:rsidP="0013221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Dostawa przełączników sieciowych (4 szt.) dla Wydziału Zarządzania.</w:t>
      </w:r>
    </w:p>
    <w:tbl>
      <w:tblPr>
        <w:tblW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8773"/>
      </w:tblGrid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  <w:p w:rsidR="00132219" w:rsidRPr="00132219" w:rsidRDefault="00132219" w:rsidP="00132219">
            <w:pPr>
              <w:rPr>
                <w:rFonts w:asciiTheme="majorHAnsi" w:hAnsiTheme="majorHAnsi" w:cstheme="majorHAnsi"/>
                <w:lang w:eastAsia="en-US"/>
              </w:rPr>
            </w:pPr>
            <w:r>
              <w:rPr>
                <w:rFonts w:asciiTheme="majorHAnsi" w:hAnsiTheme="majorHAnsi" w:cstheme="majorHAnsi"/>
                <w:lang w:eastAsia="en-US"/>
              </w:rPr>
              <w:t xml:space="preserve">1. </w:t>
            </w: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Przełącznik musi być dedykowanym urządzeniem sieciowym przystosowanym do zainstalowania w szafie rack. Wraz z urządzeniem należy dostarczyć niezbędne akcesoria umożliwiające instalację przełącznika w szafie rack. System operacyjny (firmware) dostarczony przez producenta urządzenia. Zamawiający nie dopuszcza dostarczenia urządzenia z zainstalowanym systemem operacyjnym firmy trzeciej.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 w:hanging="404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Wymagane parametry fizyczne:</w:t>
            </w:r>
          </w:p>
          <w:p w:rsidR="00132219" w:rsidRPr="00132219" w:rsidRDefault="00132219" w:rsidP="00132219">
            <w:pPr>
              <w:numPr>
                <w:ilvl w:val="0"/>
                <w:numId w:val="13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możliwość montażu w stelażu/szafie 19”</w:t>
            </w:r>
          </w:p>
          <w:p w:rsidR="00132219" w:rsidRPr="00132219" w:rsidRDefault="00132219" w:rsidP="00132219">
            <w:pPr>
              <w:numPr>
                <w:ilvl w:val="0"/>
                <w:numId w:val="13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wysokość maksymalna 1U</w:t>
            </w:r>
          </w:p>
          <w:p w:rsidR="00132219" w:rsidRPr="00132219" w:rsidRDefault="00132219" w:rsidP="00132219">
            <w:pPr>
              <w:numPr>
                <w:ilvl w:val="0"/>
                <w:numId w:val="13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minimum</w:t>
            </w: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 xml:space="preserve"> jeden wewnętrzny zasilacz 230V AC</w:t>
            </w:r>
          </w:p>
          <w:p w:rsidR="00132219" w:rsidRPr="00132219" w:rsidRDefault="00132219" w:rsidP="00132219">
            <w:pPr>
              <w:numPr>
                <w:ilvl w:val="0"/>
                <w:numId w:val="13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zakres temperatur pracy ciągłej co najmniej od -5 °C do +50 °C</w:t>
            </w:r>
          </w:p>
          <w:p w:rsidR="00132219" w:rsidRPr="00132219" w:rsidRDefault="00132219" w:rsidP="00132219">
            <w:pPr>
              <w:numPr>
                <w:ilvl w:val="0"/>
                <w:numId w:val="13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zakres wilgotności pracy co najmniej 5% - 90%</w:t>
            </w:r>
          </w:p>
          <w:p w:rsidR="00132219" w:rsidRPr="00132219" w:rsidRDefault="00132219" w:rsidP="00132219">
            <w:pPr>
              <w:numPr>
                <w:ilvl w:val="0"/>
                <w:numId w:val="13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waga urządzenia nie większa niż 5kg</w:t>
            </w:r>
          </w:p>
          <w:p w:rsidR="00132219" w:rsidRPr="00132219" w:rsidRDefault="00132219" w:rsidP="00132219">
            <w:pPr>
              <w:numPr>
                <w:ilvl w:val="0"/>
                <w:numId w:val="13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 xml:space="preserve">głębokość urządzenia maksymalnie 35cm 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Przełącznik musi posiadać minimum:</w:t>
            </w:r>
          </w:p>
          <w:p w:rsidR="00132219" w:rsidRPr="00132219" w:rsidRDefault="00132219" w:rsidP="00132219">
            <w:pPr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48</w:t>
            </w: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 xml:space="preserve"> portów </w:t>
            </w:r>
            <w:r w:rsidRPr="00132219">
              <w:rPr>
                <w:rFonts w:asciiTheme="majorHAnsi" w:hAnsiTheme="majorHAnsi" w:cstheme="majorHAnsi"/>
                <w:lang w:eastAsia="en-US"/>
              </w:rPr>
              <w:t>10/100/1000BASE-T</w:t>
            </w: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 xml:space="preserve"> ze wsparciem dla funkcjonalności PoE+. Budżet mocy PoE min 380W</w:t>
            </w:r>
          </w:p>
          <w:p w:rsidR="00132219" w:rsidRPr="00132219" w:rsidRDefault="00132219" w:rsidP="00132219">
            <w:pPr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 xml:space="preserve">4 porty </w:t>
            </w:r>
            <w:r w:rsidRPr="00132219">
              <w:rPr>
                <w:rFonts w:asciiTheme="majorHAnsi" w:hAnsiTheme="majorHAnsi" w:cstheme="majorHAnsi"/>
                <w:lang w:eastAsia="en-US"/>
              </w:rPr>
              <w:t xml:space="preserve">10GE SFP+  z obsługą modułów 10G-SR, 10G-LR, 1G-SX, 1G-LX, </w:t>
            </w:r>
          </w:p>
          <w:p w:rsidR="00132219" w:rsidRPr="00132219" w:rsidRDefault="00132219" w:rsidP="00132219">
            <w:pPr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2 dedykowane porty do łączenia przełączników w stos.  Porty nie mogą być współdzielone z wymaganymi 4 portami 10GE SFP+</w:t>
            </w:r>
          </w:p>
          <w:p w:rsidR="00132219" w:rsidRPr="00132219" w:rsidRDefault="00132219" w:rsidP="00132219">
            <w:pPr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Port konsoli RS232/RJ45</w:t>
            </w:r>
          </w:p>
          <w:p w:rsidR="00132219" w:rsidRPr="00132219" w:rsidRDefault="00132219" w:rsidP="00132219">
            <w:pPr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Port USB umożliwiający podłączenie zewnętrznej pamięci flash</w:t>
            </w:r>
            <w:r w:rsidRPr="00132219">
              <w:rPr>
                <w:rFonts w:asciiTheme="majorHAnsi" w:hAnsiTheme="majorHAnsi" w:cstheme="majorHAnsi"/>
                <w:lang w:eastAsia="en-US"/>
              </w:rPr>
              <w:t xml:space="preserve"> 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Maksymalny pobór mocy przez przełącznik przy nieaktywnej funkcjonalności PoE  -  80W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Przełącznik musi umożliwiać łączenie w stosy z zachowaniem następującej funkcjonalności:</w:t>
            </w:r>
          </w:p>
          <w:p w:rsidR="00132219" w:rsidRPr="00132219" w:rsidRDefault="00132219" w:rsidP="00132219">
            <w:pPr>
              <w:numPr>
                <w:ilvl w:val="0"/>
                <w:numId w:val="15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Zarządzanie stosem poprzez jeden adres IP</w:t>
            </w:r>
          </w:p>
          <w:p w:rsidR="00132219" w:rsidRPr="00132219" w:rsidRDefault="00132219" w:rsidP="00132219">
            <w:pPr>
              <w:numPr>
                <w:ilvl w:val="0"/>
                <w:numId w:val="15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lastRenderedPageBreak/>
              <w:t>Do min. 5 jednostek w stosie</w:t>
            </w:r>
          </w:p>
          <w:p w:rsidR="00132219" w:rsidRPr="00132219" w:rsidRDefault="00132219" w:rsidP="00132219">
            <w:pPr>
              <w:numPr>
                <w:ilvl w:val="0"/>
                <w:numId w:val="15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 xml:space="preserve">Magistrala stackująca o wydajności minimum </w:t>
            </w:r>
            <w:r w:rsidRPr="00132219">
              <w:rPr>
                <w:rFonts w:asciiTheme="majorHAnsi" w:hAnsiTheme="majorHAnsi" w:cstheme="majorHAnsi"/>
                <w:lang w:eastAsia="en-US"/>
              </w:rPr>
              <w:t>48</w:t>
            </w: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Gb/s</w:t>
            </w:r>
          </w:p>
          <w:p w:rsidR="00132219" w:rsidRPr="00132219" w:rsidRDefault="00132219" w:rsidP="00132219">
            <w:pPr>
              <w:numPr>
                <w:ilvl w:val="0"/>
                <w:numId w:val="15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Możliwość tworzenia połączeń link aggregation zgodnie z 802.3ad dla portów należących do różnych jednostek w stosie (ang. cross-stack link aggregation)</w:t>
            </w:r>
          </w:p>
          <w:p w:rsidR="00132219" w:rsidRPr="00132219" w:rsidRDefault="00132219" w:rsidP="00132219">
            <w:pPr>
              <w:numPr>
                <w:ilvl w:val="0"/>
                <w:numId w:val="15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Stos przełączników powinien być widoczny w sieci jako jedno urządzenie logiczne z punktu widzenia protokołu Spanning-Tree</w:t>
            </w:r>
          </w:p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W ramach niniejszego postępowania musi zostać dostarczony kabel producenta umożliwiający podłączenia urządzeń w stos o długości minium 0,5m.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Układ przełączający o wydajności min. 224 Gbps, wydajność przełączania przynajmniej 160 Mpps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min. 32 000 adresów MAC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Wbudowana pamięć RAM min. 2GB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Urządzenie musi mieć wbudowaną pamięć flash o pojemności min. 1GB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min. 4000 sieci VLAN jednocześnie oraz obsługa 802.1Q tunneling (QinQ)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Możliwość skonfigurowania min. 1023 interfejsów vlan interface SVI działających równocześnie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ramek jumbo o wielkości min. 9200 bajtów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mechanizmów ERPS: G.8032 v1 G.8032 v2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protokołu BFD oraz LACP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protokołu HSRP IPv4 i IPv6 lub VRRP IPv4 i IPv6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b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Wsparcie dla protokołów 802.1d (STP), 802.1s (MSTP), 802.1w (RSTP). wsparcie dla min. 63 instancji protokołu MSTP</w:t>
            </w:r>
            <w:r>
              <w:rPr>
                <w:rFonts w:asciiTheme="majorHAnsi" w:hAnsiTheme="majorHAnsi" w:cstheme="majorHAnsi"/>
                <w:lang w:eastAsia="en-US"/>
              </w:rPr>
              <w:t xml:space="preserve">. Wsparcie dla mechanizmu VBST  lub </w:t>
            </w:r>
            <w:r w:rsidRPr="00132219">
              <w:rPr>
                <w:rFonts w:asciiTheme="majorHAnsi" w:hAnsiTheme="majorHAnsi" w:cstheme="majorHAnsi"/>
                <w:lang w:eastAsia="en-US"/>
              </w:rPr>
              <w:t>PVST</w:t>
            </w:r>
            <w:r>
              <w:rPr>
                <w:rFonts w:asciiTheme="majorHAnsi" w:hAnsiTheme="majorHAnsi" w:cstheme="majorHAnsi"/>
                <w:lang w:eastAsia="en-US"/>
              </w:rPr>
              <w:t>.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protokołów routingu dynamicznego OSPF, OSPFv3, RIP, RIPng. Jeżeli do obsługi powyższych funkcjonalności wymagana jest licencja to należy ją dostarczyć w ramach niniejszego postępowania</w:t>
            </w:r>
          </w:p>
        </w:tc>
        <w:bookmarkStart w:id="0" w:name="_GoBack"/>
        <w:bookmarkEnd w:id="0"/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tabs>
                <w:tab w:val="left" w:pos="1913"/>
              </w:tabs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min. 4 000 tras dla routingu IPv4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min. 1 000 tras dla routingu IPv6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protokołów związanych z obsługą ruchu typu multicast:</w:t>
            </w:r>
          </w:p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val="en-GB" w:eastAsia="en-US"/>
              </w:rPr>
            </w:pPr>
            <w:r w:rsidRPr="00132219">
              <w:rPr>
                <w:rFonts w:asciiTheme="majorHAnsi" w:hAnsiTheme="majorHAnsi" w:cstheme="majorHAnsi"/>
                <w:lang w:val="en-GB" w:eastAsia="en-US"/>
              </w:rPr>
              <w:t>a) IGMP v1, v2 i v3</w:t>
            </w:r>
          </w:p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val="en-GB" w:eastAsia="en-US"/>
              </w:rPr>
            </w:pPr>
            <w:r w:rsidRPr="00132219">
              <w:rPr>
                <w:rFonts w:asciiTheme="majorHAnsi" w:hAnsiTheme="majorHAnsi" w:cstheme="majorHAnsi"/>
                <w:lang w:val="en-GB" w:eastAsia="en-US"/>
              </w:rPr>
              <w:lastRenderedPageBreak/>
              <w:t>b) IGMP Snooping v1, v2 i v3</w:t>
            </w:r>
          </w:p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c) PIM-SM, PIM-DM, PIM-SSM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val="en-US" w:eastAsia="en-US"/>
              </w:rPr>
            </w:pPr>
            <w:r w:rsidRPr="00132219">
              <w:rPr>
                <w:rFonts w:asciiTheme="majorHAnsi" w:hAnsiTheme="majorHAnsi" w:cstheme="majorHAnsi"/>
                <w:lang w:val="en-US" w:eastAsia="en-US"/>
              </w:rPr>
              <w:t>Obsługa min. 1 023 IPv6 Neighbor Discovery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val="en-US"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Minimalny rozmiar tablicy ARP 2 048 wpisów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 xml:space="preserve">Obsługa minimum 60 wirtualnych tablic routingu-forwardingu (VRF) 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protokołów LLDP i LLDP-MED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Przełącznik musi być zgodny z IEEE 802.3az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Przełącznik musi posiadać funkcjonalność DHCP Server, DHCP Snooping, DHCP relay, DHCP client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Mechanizmy związane z zapewnieniem bezpieczeństwa sieci:</w:t>
            </w:r>
          </w:p>
          <w:p w:rsidR="00132219" w:rsidRPr="00132219" w:rsidRDefault="00132219" w:rsidP="00132219">
            <w:pPr>
              <w:numPr>
                <w:ilvl w:val="0"/>
                <w:numId w:val="16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min. 3 poziomy dostępu administracyjnego poprzez konsolę</w:t>
            </w:r>
          </w:p>
          <w:p w:rsidR="00132219" w:rsidRPr="00132219" w:rsidRDefault="00132219" w:rsidP="00132219">
            <w:pPr>
              <w:numPr>
                <w:ilvl w:val="0"/>
                <w:numId w:val="16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autoryzacja użytkowników w oparciu o IEEE 802.1x z możliwością przydziału VLANu oraz dynamicznego przypisania listy ACL</w:t>
            </w:r>
          </w:p>
          <w:p w:rsidR="00132219" w:rsidRPr="00132219" w:rsidRDefault="00132219" w:rsidP="00132219">
            <w:pPr>
              <w:numPr>
                <w:ilvl w:val="0"/>
                <w:numId w:val="16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obsługa sprzętowo reguł ACL. Możliwość utworzenia minimum 2000 reguł ACL</w:t>
            </w:r>
          </w:p>
          <w:p w:rsidR="00132219" w:rsidRPr="00132219" w:rsidRDefault="00132219" w:rsidP="00132219">
            <w:pPr>
              <w:numPr>
                <w:ilvl w:val="0"/>
                <w:numId w:val="16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 xml:space="preserve">możliwość uwierzytelniania urządzeń na porcie w oparciu o adres MAC </w:t>
            </w:r>
          </w:p>
          <w:p w:rsidR="00132219" w:rsidRPr="00132219" w:rsidRDefault="00132219" w:rsidP="00132219">
            <w:pPr>
              <w:numPr>
                <w:ilvl w:val="0"/>
                <w:numId w:val="17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zarządzanie urządzeniem z wykorzystaniem HTTPS, SNMPv3 i SSHv2</w:t>
            </w:r>
          </w:p>
          <w:p w:rsidR="00132219" w:rsidRPr="00132219" w:rsidRDefault="00132219" w:rsidP="00132219">
            <w:pPr>
              <w:numPr>
                <w:ilvl w:val="0"/>
                <w:numId w:val="16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możliwość filtrowania ruchu w oparciu o adresy MAC, IPv4, IPv6, porty TCP/UDP</w:t>
            </w:r>
          </w:p>
          <w:p w:rsidR="00132219" w:rsidRPr="00132219" w:rsidRDefault="00132219" w:rsidP="00132219">
            <w:pPr>
              <w:numPr>
                <w:ilvl w:val="0"/>
                <w:numId w:val="16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val="en-GB"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val="en-GB" w:eastAsia="en-US"/>
              </w:rPr>
              <w:t>obsługa mechanizmów Port Security, Dynamic ARP Inspection, IP Source Guard</w:t>
            </w:r>
          </w:p>
          <w:p w:rsidR="00132219" w:rsidRPr="00132219" w:rsidRDefault="00132219" w:rsidP="00132219">
            <w:pPr>
              <w:numPr>
                <w:ilvl w:val="0"/>
                <w:numId w:val="16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 xml:space="preserve">obsługa mechanizmów związanych z ochroną protokołu STP: BPDU Protection, Root Protection, Loop Protection </w:t>
            </w:r>
          </w:p>
          <w:p w:rsidR="00132219" w:rsidRPr="00132219" w:rsidRDefault="00132219" w:rsidP="00132219">
            <w:pPr>
              <w:numPr>
                <w:ilvl w:val="0"/>
                <w:numId w:val="16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m</w:t>
            </w: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ożliwość synchronizacji czasu zgodnie z NTP IPv4 i IPv6</w:t>
            </w:r>
          </w:p>
          <w:p w:rsidR="00132219" w:rsidRPr="00132219" w:rsidRDefault="00132219" w:rsidP="00132219">
            <w:pPr>
              <w:numPr>
                <w:ilvl w:val="0"/>
                <w:numId w:val="16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możliwość uwierzytelnienia wielu użytkowników na jednym porcie z możliwością przydzielenia różnych VLANów dla każdego użytkownika z osobna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Implementacja co najmniej ośmiu kolejek sprzętowych QoS na każdym porcie wyjściowym z możliwością konfiguracji dla obsługi ruchu o różnych klasach:</w:t>
            </w:r>
          </w:p>
          <w:p w:rsidR="00132219" w:rsidRPr="00132219" w:rsidRDefault="00132219" w:rsidP="00132219">
            <w:pPr>
              <w:numPr>
                <w:ilvl w:val="0"/>
                <w:numId w:val="18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 xml:space="preserve">klasyfikacja ruchu do klas różnej jakości obsługi (QoS) poprzez wykorzystanie następujących parametrów: źródłowy adres MAC, docelowy adres </w:t>
            </w: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lastRenderedPageBreak/>
              <w:t>MAC, źródłowy adres IP, docelowy adres IP, źródłowy port TCP, docelowy port TCP</w:t>
            </w:r>
          </w:p>
          <w:p w:rsidR="00132219" w:rsidRPr="00132219" w:rsidRDefault="00132219" w:rsidP="00132219">
            <w:pPr>
              <w:numPr>
                <w:ilvl w:val="0"/>
                <w:numId w:val="18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wsparcie dla mechanizmów QoS z wykorzystaniem algorytmu karuzelowego, np.: WRR, WDRR, DRR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Urządzenie musi posiadać mechanizm do badania jakości połączeń (IP SLA) z możliwością badania takich parametrów jak: jitter, opóźnienie, straty pakietów dla wygenerowanego strumienia testowego UDP. Urządzenie musi mieć możliwość pracy jako generator oraz jako odbiornik pakietów testowych IP SLA. Urządzenie musi umożliwiać konfigurację liczby wysyłanych pakietów UDP w ramach pojedynczej próbki oraz odstępu czasowego pomiędzy kolejnymi wysyłanymi pakietami UDP w ramach pojedynczej próbki. Jeżeli funkcjonalność IP SLA wymaga licencji to Zamawiający wymaga jej dostarczenia w ramach niniejszego postępowania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tabs>
                <w:tab w:val="left" w:pos="915"/>
              </w:tabs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Wymagane opcje zarządzania:</w:t>
            </w:r>
          </w:p>
          <w:p w:rsidR="00132219" w:rsidRPr="00132219" w:rsidRDefault="00132219" w:rsidP="00132219">
            <w:pPr>
              <w:numPr>
                <w:ilvl w:val="0"/>
                <w:numId w:val="19"/>
              </w:numPr>
              <w:tabs>
                <w:tab w:val="left" w:pos="915"/>
              </w:tabs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możliwość lokalnej obserwacji ruchu na określonym porcie</w:t>
            </w:r>
          </w:p>
          <w:p w:rsidR="00132219" w:rsidRPr="00132219" w:rsidRDefault="00132219" w:rsidP="00132219">
            <w:pPr>
              <w:numPr>
                <w:ilvl w:val="0"/>
                <w:numId w:val="19"/>
              </w:numPr>
              <w:tabs>
                <w:tab w:val="left" w:pos="915"/>
              </w:tabs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plik konfiguracyjny urządzenia musi być możliwy do edycji w trybie off-line (tzn. konieczna jest możliwość przeglądania i zmian konfiguracji w pliku tekstowym na dowolnym urządzeniu PC)</w:t>
            </w:r>
          </w:p>
          <w:p w:rsidR="00132219" w:rsidRPr="00132219" w:rsidRDefault="00132219" w:rsidP="00132219">
            <w:pPr>
              <w:numPr>
                <w:ilvl w:val="0"/>
                <w:numId w:val="19"/>
              </w:numPr>
              <w:tabs>
                <w:tab w:val="left" w:pos="915"/>
              </w:tabs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możliwość zarządzania urządzeniem z wykorzystaniem protokołu Netconf/Yang lub RESTCONF</w:t>
            </w:r>
          </w:p>
          <w:p w:rsidR="00132219" w:rsidRPr="00132219" w:rsidRDefault="00132219" w:rsidP="00132219">
            <w:pPr>
              <w:numPr>
                <w:ilvl w:val="0"/>
                <w:numId w:val="19"/>
              </w:numPr>
              <w:tabs>
                <w:tab w:val="left" w:pos="915"/>
              </w:tabs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wsparcie dla skyptów python uruchamianych na urządzeniu</w:t>
            </w:r>
          </w:p>
          <w:p w:rsidR="00132219" w:rsidRPr="00132219" w:rsidRDefault="00132219" w:rsidP="00132219">
            <w:pPr>
              <w:numPr>
                <w:ilvl w:val="0"/>
                <w:numId w:val="19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wsparcie dla RMON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tabs>
                <w:tab w:val="left" w:pos="5625"/>
              </w:tabs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Wraz z urządzeniami muszą zostać dostarczone:</w:t>
            </w:r>
          </w:p>
          <w:p w:rsidR="00132219" w:rsidRPr="00132219" w:rsidRDefault="00132219" w:rsidP="00132219">
            <w:pPr>
              <w:numPr>
                <w:ilvl w:val="0"/>
                <w:numId w:val="20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pełna dokumentacja w języku polskim lub angielskim</w:t>
            </w:r>
          </w:p>
          <w:p w:rsidR="00132219" w:rsidRPr="00132219" w:rsidRDefault="00132219" w:rsidP="00132219">
            <w:pPr>
              <w:numPr>
                <w:ilvl w:val="0"/>
                <w:numId w:val="20"/>
              </w:numPr>
              <w:suppressAutoHyphens w:val="0"/>
              <w:spacing w:line="360" w:lineRule="auto"/>
              <w:rPr>
                <w:rFonts w:asciiTheme="majorHAnsi" w:hAnsiTheme="majorHAnsi" w:cstheme="majorHAnsi"/>
                <w:color w:val="000000"/>
                <w:lang w:eastAsia="en-US"/>
              </w:rPr>
            </w:pPr>
            <w:r w:rsidRPr="00132219">
              <w:rPr>
                <w:rFonts w:asciiTheme="majorHAnsi" w:hAnsiTheme="majorHAnsi" w:cstheme="majorHAnsi"/>
                <w:color w:val="000000"/>
                <w:lang w:eastAsia="en-US"/>
              </w:rPr>
              <w:t>dokumenty potwierdzające, że proponowane urządzenia posiadają wymagane deklaracje zgodności z normami bezpieczeństwa (CE), lub oświadczenie, że deklaracja nie jest wymagana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Urządzenie musi być fabrycznie nowe i nieużywane wcześniej w żadnych projektach, wyprodukowane nie wcześniej niż 6 miesięcy przed dostawą i nieużywane przed dniem dostarczenia z wyłączeniem używania niezbędnego dla przeprowadzenia testu ich poprawnej pracy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 xml:space="preserve">Zamawiający wymaga, aby przełączniki posiadały 5-letni serwis gwarancyjny świadczony przez Wykonawcę (lub autoryzowany serwis) na bazie gwarancji producenta. </w:t>
            </w:r>
          </w:p>
        </w:tc>
      </w:tr>
      <w:tr w:rsidR="00132219" w:rsidRPr="00132219" w:rsidTr="001322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19" w:rsidRPr="00132219" w:rsidRDefault="00132219" w:rsidP="00132219">
            <w:pPr>
              <w:numPr>
                <w:ilvl w:val="0"/>
                <w:numId w:val="12"/>
              </w:numPr>
              <w:suppressAutoHyphens w:val="0"/>
              <w:spacing w:line="360" w:lineRule="auto"/>
              <w:ind w:left="426"/>
              <w:jc w:val="both"/>
              <w:rPr>
                <w:rFonts w:asciiTheme="majorHAnsi" w:hAnsiTheme="majorHAnsi" w:cstheme="majorHAnsi"/>
                <w:color w:val="000000"/>
                <w:lang w:eastAsia="en-US"/>
              </w:rPr>
            </w:pPr>
          </w:p>
        </w:tc>
        <w:tc>
          <w:tcPr>
            <w:tcW w:w="8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19" w:rsidRPr="00132219" w:rsidRDefault="00132219" w:rsidP="00132219">
            <w:pPr>
              <w:spacing w:line="360" w:lineRule="auto"/>
              <w:rPr>
                <w:rFonts w:asciiTheme="majorHAnsi" w:hAnsiTheme="majorHAnsi" w:cstheme="majorHAnsi"/>
                <w:lang w:eastAsia="en-US"/>
              </w:rPr>
            </w:pPr>
            <w:r w:rsidRPr="00132219">
              <w:rPr>
                <w:rFonts w:asciiTheme="majorHAnsi" w:hAnsiTheme="majorHAnsi" w:cstheme="majorHAnsi"/>
                <w:lang w:eastAsia="en-US"/>
              </w:rPr>
              <w:t>Bezpłatny dostęp do najnowszych wersji oprogramowania na stronie producenta przez cały okres serwisu gwarancyjnego dla urządzeń</w:t>
            </w:r>
          </w:p>
        </w:tc>
      </w:tr>
    </w:tbl>
    <w:p w:rsidR="00132219" w:rsidRPr="00132219" w:rsidRDefault="00132219" w:rsidP="00132219">
      <w:pPr>
        <w:spacing w:line="360" w:lineRule="auto"/>
        <w:rPr>
          <w:rFonts w:asciiTheme="majorHAnsi" w:eastAsia="Times New Roman" w:hAnsiTheme="majorHAnsi" w:cstheme="majorHAnsi"/>
          <w:lang w:eastAsia="pl-PL"/>
        </w:rPr>
      </w:pPr>
    </w:p>
    <w:p w:rsidR="00597E65" w:rsidRPr="00132219" w:rsidRDefault="00597E65" w:rsidP="00132219">
      <w:pPr>
        <w:spacing w:line="360" w:lineRule="auto"/>
        <w:rPr>
          <w:rFonts w:asciiTheme="majorHAnsi" w:hAnsiTheme="majorHAnsi" w:cstheme="majorHAnsi"/>
          <w:b/>
        </w:rPr>
      </w:pPr>
    </w:p>
    <w:p w:rsidR="00597E65" w:rsidRPr="00132219" w:rsidRDefault="00597E65" w:rsidP="00132219">
      <w:pPr>
        <w:spacing w:line="360" w:lineRule="auto"/>
        <w:rPr>
          <w:rFonts w:asciiTheme="majorHAnsi" w:hAnsiTheme="majorHAnsi" w:cstheme="majorHAnsi"/>
          <w:b/>
        </w:rPr>
      </w:pPr>
    </w:p>
    <w:sectPr w:rsidR="00597E65" w:rsidRPr="00132219" w:rsidSect="00132219">
      <w:footerReference w:type="default" r:id="rId7"/>
      <w:headerReference w:type="first" r:id="rId8"/>
      <w:footerReference w:type="first" r:id="rId9"/>
      <w:pgSz w:w="11906" w:h="16838"/>
      <w:pgMar w:top="1985" w:right="1134" w:bottom="1134" w:left="1134" w:header="0" w:footer="0" w:gutter="0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CE9" w:rsidRDefault="009C6CE9" w:rsidP="00294948">
      <w:r>
        <w:separator/>
      </w:r>
    </w:p>
  </w:endnote>
  <w:endnote w:type="continuationSeparator" w:id="0">
    <w:p w:rsidR="009C6CE9" w:rsidRDefault="009C6CE9" w:rsidP="00294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Liberation Serif">
    <w:altName w:val="Times New Roman"/>
    <w:charset w:val="01"/>
    <w:family w:val="roman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8109681"/>
      <w:docPartObj>
        <w:docPartGallery w:val="Page Numbers (Bottom of Page)"/>
        <w:docPartUnique/>
      </w:docPartObj>
    </w:sdtPr>
    <w:sdtContent>
      <w:sdt>
        <w:sdtPr>
          <w:id w:val="1970167656"/>
          <w:docPartObj>
            <w:docPartGallery w:val="Page Numbers (Top of Page)"/>
            <w:docPartUnique/>
          </w:docPartObj>
        </w:sdtPr>
        <w:sdtContent>
          <w:p w:rsidR="00132219" w:rsidRDefault="00132219">
            <w:pPr>
              <w:pStyle w:val="Stopka"/>
              <w:jc w:val="right"/>
            </w:pP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begin"/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instrText>PAGE</w:instrText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4</w:t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end"/>
            </w:r>
            <w:r w:rsidRPr="00132219">
              <w:rPr>
                <w:rFonts w:asciiTheme="majorHAnsi" w:hAnsiTheme="majorHAnsi" w:cstheme="majorHAnsi"/>
                <w:sz w:val="20"/>
                <w:szCs w:val="20"/>
              </w:rPr>
              <w:t xml:space="preserve"> z </w:t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begin"/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instrText>NUMPAGES</w:instrText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5</w:t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32219" w:rsidRDefault="001322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439537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132219" w:rsidRDefault="00132219" w:rsidP="00132219">
            <w:pPr>
              <w:pStyle w:val="Bezodstpw"/>
              <w:rPr>
                <w:rFonts w:ascii="Roboto" w:hAnsi="Roboto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132080</wp:posOffset>
                      </wp:positionV>
                      <wp:extent cx="5400675" cy="635"/>
                      <wp:effectExtent l="0" t="0" r="28575" b="37465"/>
                      <wp:wrapNone/>
                      <wp:docPr id="21" name="Łącznik prosty ze strzałką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006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B6ED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99364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21" o:spid="_x0000_s1026" type="#_x0000_t32" style="position:absolute;margin-left:.95pt;margin-top:10.4pt;width:425.25pt;height: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3Z8QQIAAFUEAAAOAAAAZHJzL2Uyb0RvYy54bWysVMuO2jAU3VfqP1jZQxImMBARRm0C3Uxb&#10;pJl+gLEdYpHYlm0IUHUxlebPZv6r1w7Q0m6qqhvHj3uPzz33ONO7fVOjHdOGS5EFcT8KEBNEUi7W&#10;WfDlcdEbB8hYLCiupWBZcGAmuJu9fTNtVcoGspI1ZRoBiDBpq7KgslalYWhIxRps+lIxAYel1A22&#10;sNTrkGrcAnpTh4MoGoWt1FRpSZgxsFt0h8HM45clI/ZzWRpmUZ0FwM36Uftx5cZwNsXpWmNVcXKi&#10;gf+BRYO5gEsvUAW2GG01/wOq4URLI0vbJ7IJZVlywnwNUE0c/VbNQ4UV87WAOEZdZDL/D5Z82i01&#10;4jQLBnGABG6gR69PL8/kKPgGgbDGHtCRQQ/1Eb9+37w8IwgE1VplUkjOxVK7uslePKh7STYGCZlX&#10;WKyZZ/94UIDoM8KrFLcwCu5etR8lhRi8tdJLuC914yBBHLT3nTpcOsX2FhHYHCbQ+9thgAicjW6G&#10;jlGI03Oq0sZ+YLKBAgy0HMhjvq5sLoUAR0gd+4vw7t7YLvGc4O4VcsHr2hujFqgF9pNoGPkMI2tO&#10;3amLM3q9ymuNdth5K3o/mhcnGldhWm4F9WgVw3R+mlvM624OtGvh8KA24HOadeb5Ookm8/F8nPSS&#10;wWjeS6Ki6L1b5ElvtIhvh8VNkedF/M1Ri5O04pQy4didjRwnf2eU05PqLHix8kWH8BrdKw1kz19P&#10;2jfX9bNzxkrSw1I7bV2fwbs++PTO3OP4de2jfv4NZj8AAAD//wMAUEsDBBQABgAIAAAAIQDDQaVg&#10;3AAAAAcBAAAPAAAAZHJzL2Rvd25yZXYueG1sTI/BTsMwEETvSPyDtUhcEHWIArQhToWQ4MSBpki9&#10;buMliYjXUey0oV/P9gTH2RnNvinWs+vVgcbQeTZwt0hAEdfedtwY+Ny+3i5BhYhssfdMBn4owLq8&#10;vCgwt/7IGzpUsVFSwiFHA22MQ651qFtyGBZ+IBbvy48Oo8ix0XbEo5S7XqdJ8qAddiwfWhzopaX6&#10;u5qcgffTx+6t32TTI9Iuq7rotqcbZ8z11fz8BCrSHP/CcMYXdCiFae8ntkH1olcSNJAmMkDs5X2a&#10;gdqfDyvQZaH/85e/AAAA//8DAFBLAQItABQABgAIAAAAIQC2gziS/gAAAOEBAAATAAAAAAAAAAAA&#10;AAAAAAAAAABbQ29udGVudF9UeXBlc10ueG1sUEsBAi0AFAAGAAgAAAAhADj9If/WAAAAlAEAAAsA&#10;AAAAAAAAAAAAAAAALwEAAF9yZWxzLy5yZWxzUEsBAi0AFAAGAAgAAAAhAAZrdnxBAgAAVQQAAA4A&#10;AAAAAAAAAAAAAAAALgIAAGRycy9lMm9Eb2MueG1sUEsBAi0AFAAGAAgAAAAhAMNBpWDcAAAABwEA&#10;AA8AAAAAAAAAAAAAAAAAmwQAAGRycy9kb3ducmV2LnhtbFBLBQYAAAAABAAEAPMAAACkBQAAAAA=&#10;" strokecolor="#00b6ed" strokeweight="1.5pt"/>
                  </w:pict>
                </mc:Fallback>
              </mc:AlternateContent>
            </w:r>
          </w:p>
          <w:tbl>
            <w:tblPr>
              <w:tblW w:w="0" w:type="auto"/>
              <w:tblInd w:w="-28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46"/>
              <w:gridCol w:w="376"/>
              <w:gridCol w:w="206"/>
            </w:tblGrid>
            <w:tr w:rsidR="00132219" w:rsidTr="00132219">
              <w:tc>
                <w:tcPr>
                  <w:tcW w:w="0" w:type="auto"/>
                  <w:vAlign w:val="center"/>
                  <w:hideMark/>
                </w:tcPr>
                <w:p w:rsidR="00132219" w:rsidRDefault="00132219" w:rsidP="00132219">
                  <w:pPr>
                    <w:pStyle w:val="Bezodstpw"/>
                    <w:jc w:val="center"/>
                    <w:rPr>
                      <w:rFonts w:ascii="Roboto Bk" w:hAnsi="Roboto Bk"/>
                      <w:b/>
                      <w:bCs/>
                      <w:color w:val="00B6ED"/>
                    </w:rPr>
                  </w:pPr>
                  <w:r>
                    <w:rPr>
                      <w:rFonts w:ascii="Roboto Bk" w:hAnsi="Roboto Bk"/>
                      <w:noProof/>
                      <w:color w:val="00B6ED"/>
                    </w:rPr>
                    <w:drawing>
                      <wp:inline distT="0" distB="0" distL="0" distR="0">
                        <wp:extent cx="57150" cy="171450"/>
                        <wp:effectExtent l="0" t="0" r="0" b="0"/>
                        <wp:docPr id="18" name="Obraz 18" descr="PCz_nawias_lew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8" descr="PCz_nawias_lew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2219" w:rsidRDefault="00132219" w:rsidP="00132219">
                  <w:pPr>
                    <w:pStyle w:val="Bezodstpw"/>
                    <w:jc w:val="center"/>
                    <w:rPr>
                      <w:rFonts w:cs="Arial"/>
                      <w:b/>
                      <w:bCs/>
                      <w:color w:val="00B6ED"/>
                    </w:rPr>
                  </w:pPr>
                  <w:r>
                    <w:rPr>
                      <w:rFonts w:cs="Arial"/>
                      <w:b/>
                      <w:noProof/>
                      <w:color w:val="00B6ED"/>
                      <w:sz w:val="24"/>
                    </w:rPr>
                    <w:t>RZ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2219" w:rsidRDefault="00132219" w:rsidP="00132219">
                  <w:pPr>
                    <w:pStyle w:val="Bezodstpw"/>
                    <w:jc w:val="center"/>
                    <w:rPr>
                      <w:rFonts w:ascii="Roboto Bk" w:hAnsi="Roboto Bk"/>
                      <w:b/>
                      <w:bCs/>
                      <w:color w:val="2F549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95250" cy="171450"/>
                        <wp:effectExtent l="0" t="0" r="0" b="0"/>
                        <wp:docPr id="17" name="Obraz 17" descr="PCz_nawias_praw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7" descr="PCz_nawias_praw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32219" w:rsidRDefault="00132219" w:rsidP="00132219">
            <w:pPr>
              <w:pStyle w:val="Bezodstpw"/>
              <w:rPr>
                <w:rFonts w:ascii="Roboto" w:hAnsi="Roboto"/>
                <w:b/>
                <w:bCs/>
              </w:rPr>
            </w:pPr>
            <w:r>
              <w:rPr>
                <w:rFonts w:ascii="Roboto" w:hAnsi="Roboto"/>
                <w:b/>
                <w:bCs/>
              </w:rPr>
              <w:t>Dyrektor ds. zakupów i inwestycji Politechniki Częstochowskiej</w:t>
            </w:r>
          </w:p>
          <w:p w:rsidR="00132219" w:rsidRDefault="00132219" w:rsidP="00132219">
            <w:pPr>
              <w:pStyle w:val="Bezodstpw"/>
              <w:rPr>
                <w:rFonts w:ascii="Roboto" w:hAnsi="Roboto"/>
              </w:rPr>
            </w:pPr>
            <w:r>
              <w:rPr>
                <w:rFonts w:ascii="Roboto" w:hAnsi="Roboto"/>
              </w:rPr>
              <w:t>ul. Gen. J.H. Dąbrowskiego 69, 42-201 Częstochowa</w:t>
            </w:r>
          </w:p>
          <w:p w:rsidR="00132219" w:rsidRDefault="00132219" w:rsidP="00132219">
            <w:pPr>
              <w:pStyle w:val="Bezodstpw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5549265</wp:posOffset>
                  </wp:positionH>
                  <wp:positionV relativeFrom="paragraph">
                    <wp:posOffset>145415</wp:posOffset>
                  </wp:positionV>
                  <wp:extent cx="125730" cy="213360"/>
                  <wp:effectExtent l="0" t="0" r="7620" b="0"/>
                  <wp:wrapNone/>
                  <wp:docPr id="20" name="Obraz 20" descr="PCz_nawias_pra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 descr="PCz_nawias_pra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21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Roboto" w:hAnsi="Roboto"/>
              </w:rPr>
              <w:t>tel. +48 34 325 0256, e-mail: dyrektor.inwestycji@pcz.pl</w:t>
            </w:r>
          </w:p>
          <w:p w:rsidR="00132219" w:rsidRDefault="00132219" w:rsidP="00132219">
            <w:pPr>
              <w:pStyle w:val="Bezodstpw"/>
              <w:rPr>
                <w:rFonts w:ascii="Roboto" w:hAnsi="Roboto"/>
                <w:b/>
                <w:color w:val="00B6ED"/>
              </w:rPr>
            </w:pPr>
            <w:r>
              <w:rPr>
                <w:rFonts w:ascii="Roboto" w:hAnsi="Roboto"/>
                <w:b/>
                <w:color w:val="00B6ED"/>
              </w:rPr>
              <w:t>www.pcz.pl</w:t>
            </w:r>
          </w:p>
          <w:p w:rsidR="00132219" w:rsidRPr="00132219" w:rsidRDefault="00132219" w:rsidP="00132219">
            <w:pPr>
              <w:pStyle w:val="Bezodstpw"/>
              <w:tabs>
                <w:tab w:val="right" w:pos="8504"/>
              </w:tabs>
              <w:spacing w:line="276" w:lineRule="auto"/>
              <w:jc w:val="right"/>
              <w:rPr>
                <w:rFonts w:ascii="Roboto" w:hAnsi="Roboto"/>
                <w:b/>
                <w:color w:val="F07E26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1078230</wp:posOffset>
                      </wp:positionH>
                      <wp:positionV relativeFrom="paragraph">
                        <wp:posOffset>1271905</wp:posOffset>
                      </wp:positionV>
                      <wp:extent cx="5400675" cy="635"/>
                      <wp:effectExtent l="0" t="0" r="28575" b="37465"/>
                      <wp:wrapNone/>
                      <wp:docPr id="19" name="Łącznik prosty ze strzałką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006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B6ED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E6D5C" id="Łącznik prosty ze strzałką 19" o:spid="_x0000_s1026" type="#_x0000_t32" style="position:absolute;margin-left:84.9pt;margin-top:100.1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448PgIAAFU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NwmQwA1o9Pr08kyOgm8QDNbYAzoy0FAf8evPzcszgkCYWqtMCsmZWGnXN9mLB3UvycYgIbMK&#10;i5J59o8HBYixywivUtzBKKi9bj9LCjF4a6Uf4b7QjYOE4aC9V+pwUYrtLSLwcZiA9rfDABG4G90M&#10;PT5Oz6lKG/uJyQYaMCA5kMe8rGwmhQBHSB37Qnh3b6wjhtNzgqsr5JLXtTdGLVDrJhMNI59hZM2p&#10;u3VxRpfrrNZoh523oo+jRd7RuArTciuoR6sYpotubzGvT3uoXguHB70Bn253Ms/3STRZjBfjpJcM&#10;RoteEuV578MyS3qjZXw7zG/yLMvjH45anKQVp5QJx+5s5Dj5O6N0T+pkwYuVL3MIr9H9wIDs+deT&#10;9uI6PU/OWEt6WOmz6OBdH9y9M/c43p5h//bfYP4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HBuOPD4CAABVBAAADgAA&#10;AAAAAAAAAAAAAAAuAgAAZHJzL2Uyb0RvYy54bWxQSwECLQAUAAYACAAAACEAzWpXLd4AAAAMAQAA&#10;DwAAAAAAAAAAAAAAAACYBAAAZHJzL2Rvd25yZXYueG1sUEsFBgAAAAAEAAQA8wAAAKMFAAAAAA==&#10;" strokecolor="#00b6ed" strokeweight="1.5pt"/>
                  </w:pict>
                </mc:Fallback>
              </mc:AlternateConten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>PAGE</w:instrTex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t>1</w: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  <w:r w:rsidRPr="00132219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z </w: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>NUMPAGES</w:instrTex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t>5</w: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32219" w:rsidRPr="00132219" w:rsidRDefault="00132219" w:rsidP="00132219">
    <w:pPr>
      <w:pStyle w:val="Bezodstpw"/>
      <w:rPr>
        <w:rFonts w:ascii="Roboto" w:hAnsi="Roboto"/>
        <w:b/>
        <w:color w:val="00B6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CE9" w:rsidRDefault="009C6CE9" w:rsidP="00294948">
      <w:r>
        <w:separator/>
      </w:r>
    </w:p>
  </w:footnote>
  <w:footnote w:type="continuationSeparator" w:id="0">
    <w:p w:rsidR="009C6CE9" w:rsidRDefault="009C6CE9" w:rsidP="00294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219" w:rsidRDefault="00132219" w:rsidP="00132219">
    <w:pPr>
      <w:pStyle w:val="Nagwek"/>
    </w:pPr>
  </w:p>
  <w:p w:rsidR="00132219" w:rsidRPr="0062295F" w:rsidRDefault="00132219" w:rsidP="00132219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71552" behindDoc="0" locked="0" layoutInCell="1" allowOverlap="1" wp14:anchorId="6870705C" wp14:editId="3C936EC3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F0CF38C" wp14:editId="2EE8315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15" name="Łącznik prosty ze strzałką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4D9BC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5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c1APgIAAFUEAAAOAAAAZHJzL2Uyb0RvYy54bWysVM2O2jAQvlfqO1i5Q5LdwEIErKoEetm2&#10;SLt9AGM7iYVjW7YhQNVDK+2b7b5Xx+ZHbHupqubg2JmZb76Z+ZzJ/a4VaMuM5UpOo7SfRIhJoiiX&#10;9TT6+rTojSJkHZYUCyXZNNozG93P3r+bdDpnN6pRgjKDAETavNPTqHFO53FsScNabPtKMwnGSpkW&#10;OziaOqYGd4DeivgmSYZxpwzVRhFmLXwtj8ZoFvCrihH3paosc0hMI+DmwmrCuvJrPJvgvDZYN5yc&#10;aOB/YNFiLiHpBarEDqON4X9AtZwYZVXl+kS1saoqTlioAapJk9+qeWywZqEWaI7VlzbZ/wdLPm+X&#10;BnEKsxtESOIWZvT64+WZHCRfI2isdXt0YDBDc8CvP9cvzwgcoWudtjkEF3JpfN1kJx/1gyJri6Qq&#10;GixrFtg/7TUgpj4ifhPiD1ZD7lX3SVHwwRunQgt3lWk9JDQH7cKk9pdJsZ1DBD4OMpj9HTAmYBve&#10;BkYxzs+h2lj3kakWCrAwciCPed24QkkJilAmDYnw9sE6Twzn5wCfV6oFFyIIQ0jUAftxMkhChFWC&#10;U2/1ftbUq0IYtMVeW+EJZYLl2s2ojaQBrWGYzk97h7k47iG7kB4PagM+p91RPN/GyXg+mo+yXnYz&#10;nPeypCx7HxZF1hsu0rtBeVsWRZl+99TSLG84pUx6dmchp9nfCeV0pY4SvEj50of4LXpoGJA9vwPp&#10;MFw/z6MyVorul+Y8dNBucD7dM385rs+wv/4bzH4BAAD//wMAUEsDBBQABgAIAAAAIQAdmMSB2wAA&#10;AAkBAAAPAAAAZHJzL2Rvd25yZXYueG1sTI/BTsNADETvSPzDykhcULtpoVWUZlMhJE4cCIUPcBI3&#10;ich6o+ymWf4ewwVu9sxo/Jwfox3UhSbfOzawWSegiGvX9Nwa+Hh/XqWgfEBucHBMBr7Iw7G4vsox&#10;a9zCb3Q5hVZJCfsMDXQhjJnWvu7Iol+7kVi8s5ssBlmnVjcTLlJuB71Nkr222LNc6HCkp47qz9Ns&#10;DcTXPYdYprFaeH7x6V0Z0ZbG3N7ExwOoQDH8heEHX9ChEKbKzdx4NRhY3UtQ5M1OBvHTXbIFVf0q&#10;D6CLXP//oPgGAAD//wMAUEsBAi0AFAAGAAgAAAAhALaDOJL+AAAA4QEAABMAAAAAAAAAAAAAAAAA&#10;AAAAAFtDb250ZW50X1R5cGVzXS54bWxQSwECLQAUAAYACAAAACEAOP0h/9YAAACUAQAACwAAAAAA&#10;AAAAAAAAAAAvAQAAX3JlbHMvLnJlbHNQSwECLQAUAAYACAAAACEAvaHNQD4CAABVBAAADgAAAAAA&#10;AAAAAAAAAAAuAgAAZHJzL2Uyb0RvYy54bWxQSwECLQAUAAYACAAAACEAHZjEgdsAAAAJAQAADwAA&#10;AAAAAAAAAAAAAACYBAAAZHJzL2Rvd25yZXYueG1sUEsFBgAAAAAEAAQA8wAAAKAFAAAAAA==&#10;" strokeweight="1.5pt"/>
          </w:pict>
        </mc:Fallback>
      </mc:AlternateContent>
    </w:r>
  </w:p>
  <w:p w:rsidR="00132219" w:rsidRPr="00294948" w:rsidRDefault="00132219" w:rsidP="00132219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76E"/>
    <w:multiLevelType w:val="multilevel"/>
    <w:tmpl w:val="1954F56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3978FE"/>
    <w:multiLevelType w:val="multilevel"/>
    <w:tmpl w:val="F2CC387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11D13945"/>
    <w:multiLevelType w:val="multilevel"/>
    <w:tmpl w:val="9252EA5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B73CE"/>
    <w:multiLevelType w:val="hybridMultilevel"/>
    <w:tmpl w:val="C60A1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996662"/>
    <w:multiLevelType w:val="hybridMultilevel"/>
    <w:tmpl w:val="78C80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80B02"/>
    <w:multiLevelType w:val="multilevel"/>
    <w:tmpl w:val="1A6ABF2E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 w15:restartNumberingAfterBreak="0">
    <w:nsid w:val="24050BA0"/>
    <w:multiLevelType w:val="multilevel"/>
    <w:tmpl w:val="8458A65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92E7136"/>
    <w:multiLevelType w:val="multilevel"/>
    <w:tmpl w:val="DDC43D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07170"/>
    <w:multiLevelType w:val="multilevel"/>
    <w:tmpl w:val="4406148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 w15:restartNumberingAfterBreak="0">
    <w:nsid w:val="365765F7"/>
    <w:multiLevelType w:val="multilevel"/>
    <w:tmpl w:val="28768108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0" w15:restartNumberingAfterBreak="0">
    <w:nsid w:val="397D42E3"/>
    <w:multiLevelType w:val="multilevel"/>
    <w:tmpl w:val="F4646A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80596"/>
    <w:multiLevelType w:val="hybridMultilevel"/>
    <w:tmpl w:val="F30CB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AE40A9"/>
    <w:multiLevelType w:val="multilevel"/>
    <w:tmpl w:val="8BC21C16"/>
    <w:lvl w:ilvl="0">
      <w:start w:val="1"/>
      <w:numFmt w:val="bullet"/>
      <w:lvlText w:val="●"/>
      <w:lvlJc w:val="left"/>
      <w:pPr>
        <w:ind w:left="7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B1061B4"/>
    <w:multiLevelType w:val="multilevel"/>
    <w:tmpl w:val="FF7AB98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4" w15:restartNumberingAfterBreak="0">
    <w:nsid w:val="556C4F76"/>
    <w:multiLevelType w:val="multilevel"/>
    <w:tmpl w:val="5B261B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0D61DA"/>
    <w:multiLevelType w:val="multilevel"/>
    <w:tmpl w:val="88DCC1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17ED9"/>
    <w:multiLevelType w:val="multilevel"/>
    <w:tmpl w:val="5FB4098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7" w15:restartNumberingAfterBreak="0">
    <w:nsid w:val="717C6AB2"/>
    <w:multiLevelType w:val="multilevel"/>
    <w:tmpl w:val="06D44D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75DA6F30"/>
    <w:multiLevelType w:val="multilevel"/>
    <w:tmpl w:val="A514A422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9" w15:restartNumberingAfterBreak="0">
    <w:nsid w:val="77083D52"/>
    <w:multiLevelType w:val="multilevel"/>
    <w:tmpl w:val="7DF8FDBA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17"/>
  </w:num>
  <w:num w:numId="2">
    <w:abstractNumId w:val="8"/>
  </w:num>
  <w:num w:numId="3">
    <w:abstractNumId w:val="16"/>
  </w:num>
  <w:num w:numId="4">
    <w:abstractNumId w:val="13"/>
  </w:num>
  <w:num w:numId="5">
    <w:abstractNumId w:val="18"/>
  </w:num>
  <w:num w:numId="6">
    <w:abstractNumId w:val="5"/>
  </w:num>
  <w:num w:numId="7">
    <w:abstractNumId w:val="19"/>
  </w:num>
  <w:num w:numId="8">
    <w:abstractNumId w:val="9"/>
  </w:num>
  <w:num w:numId="9">
    <w:abstractNumId w:val="3"/>
  </w:num>
  <w:num w:numId="10">
    <w:abstractNumId w:val="4"/>
  </w:num>
  <w:num w:numId="11">
    <w:abstractNumId w:val="1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0"/>
  <w:characterSpacingControl w:val="doNotCompress"/>
  <w:hdrShapeDefaults>
    <o:shapedefaults v:ext="edit" spidmax="12296"/>
    <o:shapelayout v:ext="edit">
      <o:rules v:ext="edit">
        <o:r id="V:Rule1" type="connector" idref="#Łącznik prosty ze strzałką 2"/>
        <o:r id="V:Rule2" type="connector" idref="#Łącznik prosty ze strzałką 2"/>
        <o:r id="V:Rule3" type="connector" idref="#_x0000_s12291"/>
        <o:r id="V:Rule4" type="connector" idref="#Łącznik prosty ze strzałką 2"/>
        <o:r id="V:Rule5" type="connector" idref="#_x0000_s1229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1D2"/>
    <w:rsid w:val="0006491E"/>
    <w:rsid w:val="00132219"/>
    <w:rsid w:val="0027518A"/>
    <w:rsid w:val="00294948"/>
    <w:rsid w:val="004D3D37"/>
    <w:rsid w:val="00597E65"/>
    <w:rsid w:val="009C6CE9"/>
    <w:rsid w:val="00C477D2"/>
    <w:rsid w:val="00E711D2"/>
    <w:rsid w:val="00FC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6"/>
    <o:shapelayout v:ext="edit">
      <o:idmap v:ext="edit" data="1"/>
    </o:shapelayout>
  </w:shapeDefaults>
  <w:decimalSymbol w:val=","/>
  <w:listSeparator w:val=";"/>
  <w14:docId w14:val="1A557AB4"/>
  <w15:docId w15:val="{043DD33B-B8A7-445B-817A-0AA17B9F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" w:hAnsi="Liberation Serif" w:cs="Droid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qFormat/>
    <w:pPr>
      <w:spacing w:before="200"/>
      <w:outlineLvl w:val="1"/>
    </w:pPr>
    <w:rPr>
      <w:rFonts w:ascii="Liberation Serif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29494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94948"/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94948"/>
    <w:rPr>
      <w:rFonts w:ascii="Liberation Sans" w:hAnsi="Liberation Sans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18A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18A"/>
    <w:rPr>
      <w:rFonts w:ascii="Segoe UI" w:hAnsi="Segoe UI" w:cs="Mangal"/>
      <w:sz w:val="18"/>
      <w:szCs w:val="16"/>
    </w:rPr>
  </w:style>
  <w:style w:type="paragraph" w:styleId="Akapitzlist">
    <w:name w:val="List Paragraph"/>
    <w:basedOn w:val="Normalny"/>
    <w:uiPriority w:val="34"/>
    <w:qFormat/>
    <w:rsid w:val="00132219"/>
    <w:pPr>
      <w:ind w:left="720"/>
      <w:contextualSpacing/>
    </w:pPr>
    <w:rPr>
      <w:rFonts w:cs="Mangal"/>
      <w:szCs w:val="21"/>
    </w:rPr>
  </w:style>
  <w:style w:type="paragraph" w:styleId="Bezodstpw">
    <w:name w:val="No Spacing"/>
    <w:uiPriority w:val="1"/>
    <w:qFormat/>
    <w:rsid w:val="00132219"/>
    <w:pPr>
      <w:suppressAutoHyphens w:val="0"/>
    </w:pPr>
    <w:rPr>
      <w:rFonts w:ascii="Arial" w:eastAsia="Times New Roman" w:hAnsi="Arial" w:cs="Times New Roman"/>
      <w:kern w:val="0"/>
      <w:sz w:val="22"/>
      <w:szCs w:val="22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132219"/>
    <w:rPr>
      <w:color w:val="0000EE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1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Joanna Podsiadlik</cp:lastModifiedBy>
  <cp:revision>2</cp:revision>
  <cp:lastPrinted>2025-10-06T08:31:00Z</cp:lastPrinted>
  <dcterms:created xsi:type="dcterms:W3CDTF">2025-10-06T08:31:00Z</dcterms:created>
  <dcterms:modified xsi:type="dcterms:W3CDTF">2025-10-06T08:31:00Z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2025-07-22T11:24:24Z</dcterms:created>
  <dc:creator/>
  <dc:description/>
  <dc:language>pl-PL</dc:language>
  <cp:lastModifiedBy/>
  <dcterms:modified xsi:type="dcterms:W3CDTF">2025-07-22T11:51:28Z</dcterms:modified>
  <cp:revision>1</cp:revision>
  <dc:subject/>
  <dc:title/>
</cp:coreProperties>
</file>