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669AD" w14:textId="77777777" w:rsidR="00A10F19" w:rsidRPr="00515DF5" w:rsidRDefault="001C5A74">
      <w:pPr>
        <w:pStyle w:val="Nagwek1"/>
        <w:rPr>
          <w:lang w:val="pl-PL"/>
        </w:rPr>
      </w:pPr>
      <w:r w:rsidRPr="00515DF5">
        <w:rPr>
          <w:lang w:val="pl-PL"/>
        </w:rPr>
        <w:t>SPECYFIKACJA TECHNICZNA</w:t>
      </w:r>
    </w:p>
    <w:p w14:paraId="3F10D86E" w14:textId="77777777" w:rsidR="00A10F19" w:rsidRPr="00515DF5" w:rsidRDefault="001C5A74">
      <w:pPr>
        <w:rPr>
          <w:lang w:val="pl-PL"/>
        </w:rPr>
      </w:pPr>
      <w:r w:rsidRPr="00515DF5">
        <w:rPr>
          <w:lang w:val="pl-PL"/>
        </w:rPr>
        <w:t>Dostosowanie jednostki r/v IMOR na potrzeby pracy z systemem holowanych pojazdów ROTV wraz z magnetometrami</w:t>
      </w:r>
    </w:p>
    <w:p w14:paraId="044BD1DA" w14:textId="77777777" w:rsidR="00A10F19" w:rsidRPr="00515DF5" w:rsidRDefault="001C5A74">
      <w:pPr>
        <w:pStyle w:val="Nagwek2"/>
        <w:rPr>
          <w:lang w:val="pl-PL"/>
        </w:rPr>
      </w:pPr>
      <w:r w:rsidRPr="00515DF5">
        <w:rPr>
          <w:lang w:val="pl-PL"/>
        </w:rPr>
        <w:t>1. Charakterystyka ogólna jednostki</w:t>
      </w:r>
    </w:p>
    <w:p w14:paraId="6BBE3C29" w14:textId="77777777" w:rsidR="00A10F19" w:rsidRPr="00515DF5" w:rsidRDefault="001C5A74">
      <w:pPr>
        <w:rPr>
          <w:lang w:val="pl-PL"/>
        </w:rPr>
      </w:pPr>
      <w:r w:rsidRPr="00515DF5">
        <w:rPr>
          <w:lang w:val="pl-PL"/>
        </w:rPr>
        <w:br/>
        <w:t>Nazwa jednostki: r/v IMOR</w:t>
      </w:r>
      <w:r w:rsidRPr="00515DF5">
        <w:rPr>
          <w:lang w:val="pl-PL"/>
        </w:rPr>
        <w:br/>
        <w:t>Sygnał wywoławczy: SKNB</w:t>
      </w:r>
      <w:r w:rsidRPr="00515DF5">
        <w:rPr>
          <w:lang w:val="pl-PL"/>
        </w:rPr>
        <w:br/>
      </w:r>
      <w:r w:rsidRPr="00515DF5">
        <w:rPr>
          <w:lang w:val="pl-PL"/>
        </w:rPr>
        <w:t>Armator: Uniwersytet Morski w Gdyni</w:t>
      </w:r>
      <w:r w:rsidRPr="00515DF5">
        <w:rPr>
          <w:lang w:val="pl-PL"/>
        </w:rPr>
        <w:br/>
        <w:t xml:space="preserve">Rodzaj statku: </w:t>
      </w:r>
      <w:proofErr w:type="spellStart"/>
      <w:r w:rsidRPr="00515DF5">
        <w:rPr>
          <w:lang w:val="pl-PL"/>
        </w:rPr>
        <w:t>Research</w:t>
      </w:r>
      <w:proofErr w:type="spellEnd"/>
      <w:r w:rsidRPr="00515DF5">
        <w:rPr>
          <w:lang w:val="pl-PL"/>
        </w:rPr>
        <w:t xml:space="preserve"> </w:t>
      </w:r>
      <w:proofErr w:type="spellStart"/>
      <w:r w:rsidRPr="00515DF5">
        <w:rPr>
          <w:lang w:val="pl-PL"/>
        </w:rPr>
        <w:t>Vessel</w:t>
      </w:r>
      <w:proofErr w:type="spellEnd"/>
      <w:r w:rsidRPr="00515DF5">
        <w:rPr>
          <w:lang w:val="pl-PL"/>
        </w:rPr>
        <w:br/>
        <w:t>Stocznia: CRIST, 2006</w:t>
      </w:r>
      <w:r w:rsidRPr="00515DF5">
        <w:rPr>
          <w:lang w:val="pl-PL"/>
        </w:rPr>
        <w:br/>
        <w:t>Nadzór klasyfikacyjny: Polski Rejestr Statków (PRS)</w:t>
      </w:r>
      <w:r w:rsidRPr="00515DF5">
        <w:rPr>
          <w:lang w:val="pl-PL"/>
        </w:rPr>
        <w:br/>
        <w:t>Rodzaj klasy: *KM RESEARCH SHIP I AUTO DP1</w:t>
      </w:r>
      <w:r w:rsidRPr="00515DF5">
        <w:rPr>
          <w:lang w:val="pl-PL"/>
        </w:rPr>
        <w:br/>
        <w:t>Data nadania klasy: 28.08.2000</w:t>
      </w:r>
      <w:r w:rsidRPr="00515DF5">
        <w:rPr>
          <w:lang w:val="pl-PL"/>
        </w:rPr>
        <w:br/>
        <w:t>Rodzaj nadzoru: PRS klasowy</w:t>
      </w:r>
      <w:r w:rsidRPr="00515DF5">
        <w:rPr>
          <w:lang w:val="pl-PL"/>
        </w:rPr>
        <w:br/>
      </w:r>
      <w:r w:rsidRPr="00515DF5">
        <w:rPr>
          <w:lang w:val="pl-PL"/>
        </w:rPr>
        <w:br/>
        <w:t>Parametry techniczne jednostki:</w:t>
      </w:r>
      <w:r w:rsidRPr="00515DF5">
        <w:rPr>
          <w:lang w:val="pl-PL"/>
        </w:rPr>
        <w:br/>
        <w:t>- Długość całkowita (L): 32,50 m</w:t>
      </w:r>
      <w:r w:rsidRPr="00515DF5">
        <w:rPr>
          <w:lang w:val="pl-PL"/>
        </w:rPr>
        <w:br/>
        <w:t>- Szerokość (B): 10,50 m</w:t>
      </w:r>
      <w:r w:rsidRPr="00515DF5">
        <w:rPr>
          <w:lang w:val="pl-PL"/>
        </w:rPr>
        <w:br/>
        <w:t>- Zanurzenie maksymalne (T max): 3,5 m (z kilem)</w:t>
      </w:r>
      <w:r w:rsidRPr="00515DF5">
        <w:rPr>
          <w:lang w:val="pl-PL"/>
        </w:rPr>
        <w:br/>
      </w:r>
    </w:p>
    <w:p w14:paraId="7C16D1EC" w14:textId="77777777" w:rsidR="00A10F19" w:rsidRPr="00515DF5" w:rsidRDefault="001C5A74">
      <w:pPr>
        <w:pStyle w:val="Nagwek2"/>
        <w:rPr>
          <w:lang w:val="pl-PL"/>
        </w:rPr>
      </w:pPr>
      <w:r w:rsidRPr="00515DF5">
        <w:rPr>
          <w:lang w:val="pl-PL"/>
        </w:rPr>
        <w:t>2. Przedmiot zamówienia</w:t>
      </w:r>
    </w:p>
    <w:p w14:paraId="128053A2" w14:textId="77777777" w:rsidR="00A10F19" w:rsidRPr="00515DF5" w:rsidRDefault="001C5A74">
      <w:pPr>
        <w:rPr>
          <w:lang w:val="pl-PL"/>
        </w:rPr>
      </w:pPr>
      <w:r w:rsidRPr="00515DF5">
        <w:rPr>
          <w:lang w:val="pl-PL"/>
        </w:rPr>
        <w:br/>
        <w:t>Przedmiotem zamówienia jest usługa polegająca na dostosowaniu jednostki badawczej r/v IMOR do pracy z systemem holowanych pojazdów podwodnych typu ROTV wraz z magnetometrami, zgodnie z dokumentacją wykonawczą (załączoną do niniejszej Specyfikacji).</w:t>
      </w:r>
      <w:r w:rsidRPr="00515DF5">
        <w:rPr>
          <w:lang w:val="pl-PL"/>
        </w:rPr>
        <w:br/>
      </w:r>
    </w:p>
    <w:p w14:paraId="60151BEE" w14:textId="77777777" w:rsidR="00A10F19" w:rsidRPr="00515DF5" w:rsidRDefault="001C5A74">
      <w:pPr>
        <w:pStyle w:val="Nagwek2"/>
        <w:rPr>
          <w:lang w:val="pl-PL"/>
        </w:rPr>
      </w:pPr>
      <w:r w:rsidRPr="00515DF5">
        <w:rPr>
          <w:lang w:val="pl-PL"/>
        </w:rPr>
        <w:t>3. Zakres prac</w:t>
      </w:r>
    </w:p>
    <w:p w14:paraId="48BDC714" w14:textId="77777777" w:rsidR="00515DF5" w:rsidRDefault="001C5A74">
      <w:pPr>
        <w:rPr>
          <w:lang w:val="pl-PL"/>
        </w:rPr>
      </w:pPr>
      <w:r w:rsidRPr="00515DF5">
        <w:rPr>
          <w:lang w:val="pl-PL"/>
        </w:rPr>
        <w:br/>
        <w:t>Wykonawca zrealizuje we własnym zakresie kompletny proces przygotowania, prefabrykacji oraz montażu następujących elementów:</w:t>
      </w:r>
    </w:p>
    <w:p w14:paraId="4C62F671" w14:textId="44024B13" w:rsidR="00515DF5" w:rsidRPr="00515DF5" w:rsidRDefault="00515DF5">
      <w:pPr>
        <w:rPr>
          <w:lang w:val="pl-PL"/>
        </w:rPr>
      </w:pPr>
      <w:r w:rsidRPr="00515DF5">
        <w:rPr>
          <w:b/>
          <w:bCs/>
          <w:lang w:val="pl-PL"/>
        </w:rPr>
        <w:t>Cześć 1)</w:t>
      </w:r>
      <w:r>
        <w:rPr>
          <w:lang w:val="pl-PL"/>
        </w:rPr>
        <w:t xml:space="preserve"> przygotowanie konstrukcji zgodnie z dokumentacją wykonawczą przekazaną przez zamawiającego: </w:t>
      </w:r>
      <w:r w:rsidRPr="00515DF5">
        <w:rPr>
          <w:lang w:val="pl-PL"/>
        </w:rPr>
        <w:br/>
      </w:r>
      <w:r w:rsidRPr="00515DF5">
        <w:rPr>
          <w:lang w:val="pl-PL"/>
        </w:rPr>
        <w:br/>
        <w:t>1. Belka bramowa – konstrukcja do obsługi systemu ROTV</w:t>
      </w:r>
      <w:r w:rsidRPr="00515DF5">
        <w:rPr>
          <w:lang w:val="pl-PL"/>
        </w:rPr>
        <w:br/>
        <w:t>2. Kosze z mocowaniami do magnetometrów – dla bezpiecznego przechowywania i obsługi czujników</w:t>
      </w:r>
      <w:r w:rsidRPr="00515DF5">
        <w:rPr>
          <w:lang w:val="pl-PL"/>
        </w:rPr>
        <w:br/>
        <w:t>3. Rama USBL – struktura nośna systemu pozycjonowania akustycznego</w:t>
      </w:r>
      <w:r>
        <w:rPr>
          <w:lang w:val="pl-PL"/>
        </w:rPr>
        <w:t xml:space="preserve"> ( zamawiający </w:t>
      </w:r>
      <w:r>
        <w:rPr>
          <w:lang w:val="pl-PL"/>
        </w:rPr>
        <w:lastRenderedPageBreak/>
        <w:t>przekaże istniejącą ramę do wykonawcy. Transport ramy do wykonawcy jest po jego stronie)</w:t>
      </w:r>
      <w:r w:rsidRPr="00515DF5">
        <w:rPr>
          <w:lang w:val="pl-PL"/>
        </w:rPr>
        <w:br/>
        <w:t>4. Fundament pod windę VIGO – pod konstrukcję windy dla obsługi systemu holowanego</w:t>
      </w:r>
    </w:p>
    <w:p w14:paraId="75B996B6" w14:textId="2735FF11" w:rsidR="00515DF5" w:rsidRDefault="00515DF5">
      <w:pPr>
        <w:rPr>
          <w:lang w:val="pl-PL"/>
        </w:rPr>
      </w:pPr>
      <w:r>
        <w:rPr>
          <w:lang w:val="pl-PL"/>
        </w:rPr>
        <w:t>Zamawiający dalej sobie prawo do kontroli zgodności przygotowanych prefabrykatów z dokumentacją wykonawczą przed instalacją na jednostce r/v IMOR</w:t>
      </w:r>
    </w:p>
    <w:p w14:paraId="1BEB443F" w14:textId="1E14266D" w:rsidR="00515DF5" w:rsidRDefault="00515DF5">
      <w:pPr>
        <w:rPr>
          <w:lang w:val="pl-PL"/>
        </w:rPr>
      </w:pPr>
      <w:r>
        <w:rPr>
          <w:lang w:val="pl-PL"/>
        </w:rPr>
        <w:t xml:space="preserve">Część 2) Montaż, oraz testy elementów. </w:t>
      </w:r>
    </w:p>
    <w:p w14:paraId="2D40CAF7" w14:textId="77777777" w:rsidR="001C5A74" w:rsidRDefault="00515DF5" w:rsidP="00515DF5">
      <w:pPr>
        <w:rPr>
          <w:lang w:val="pl-PL"/>
        </w:rPr>
      </w:pPr>
      <w:r>
        <w:rPr>
          <w:lang w:val="pl-PL"/>
        </w:rPr>
        <w:t xml:space="preserve">Zamawiający </w:t>
      </w:r>
      <w:proofErr w:type="spellStart"/>
      <w:r>
        <w:rPr>
          <w:lang w:val="pl-PL"/>
        </w:rPr>
        <w:t>przekaze</w:t>
      </w:r>
      <w:proofErr w:type="spellEnd"/>
      <w:r>
        <w:rPr>
          <w:lang w:val="pl-PL"/>
        </w:rPr>
        <w:t xml:space="preserve"> do dyspozycji wykonawcy jednostkę r/v </w:t>
      </w:r>
      <w:proofErr w:type="spellStart"/>
      <w:r>
        <w:rPr>
          <w:lang w:val="pl-PL"/>
        </w:rPr>
        <w:t>Imor</w:t>
      </w:r>
      <w:proofErr w:type="spellEnd"/>
      <w:r>
        <w:rPr>
          <w:lang w:val="pl-PL"/>
        </w:rPr>
        <w:t xml:space="preserve"> na okres nie dłuższy niż 7 dni. W tym czasie wykonawca musi </w:t>
      </w:r>
    </w:p>
    <w:p w14:paraId="3EFF241B" w14:textId="77777777" w:rsidR="001C5A74" w:rsidRDefault="00515DF5" w:rsidP="001C5A74">
      <w:pPr>
        <w:pStyle w:val="Akapitzlist"/>
        <w:numPr>
          <w:ilvl w:val="0"/>
          <w:numId w:val="11"/>
        </w:numPr>
        <w:rPr>
          <w:lang w:val="pl-PL"/>
        </w:rPr>
      </w:pPr>
      <w:r w:rsidRPr="001C5A74">
        <w:rPr>
          <w:lang w:val="pl-PL"/>
        </w:rPr>
        <w:t>dostarczyć elementy wcześniej przygotowane i zainstalować je na jednostce oraz</w:t>
      </w:r>
    </w:p>
    <w:p w14:paraId="547B7FA4" w14:textId="32A12C0A" w:rsidR="001C5A74" w:rsidRDefault="00515DF5" w:rsidP="001C5A74">
      <w:pPr>
        <w:pStyle w:val="Akapitzlist"/>
        <w:numPr>
          <w:ilvl w:val="0"/>
          <w:numId w:val="11"/>
        </w:numPr>
        <w:rPr>
          <w:lang w:val="pl-PL"/>
        </w:rPr>
      </w:pPr>
      <w:r w:rsidRPr="001C5A74">
        <w:rPr>
          <w:lang w:val="pl-PL"/>
        </w:rPr>
        <w:t xml:space="preserve">zorganizować badania NDT </w:t>
      </w:r>
      <w:r w:rsidR="001C5A74">
        <w:rPr>
          <w:lang w:val="pl-PL"/>
        </w:rPr>
        <w:t>w pkt 4.4 kontrola jakości spoin</w:t>
      </w:r>
    </w:p>
    <w:p w14:paraId="21E09CA6" w14:textId="1F581BF1" w:rsidR="001C5A74" w:rsidRPr="001C5A74" w:rsidRDefault="001C5A74" w:rsidP="001C5A74">
      <w:pPr>
        <w:pStyle w:val="Akapitzlist"/>
        <w:numPr>
          <w:ilvl w:val="0"/>
          <w:numId w:val="11"/>
        </w:numPr>
        <w:rPr>
          <w:lang w:val="pl-PL"/>
        </w:rPr>
      </w:pPr>
      <w:r>
        <w:rPr>
          <w:lang w:val="pl-PL"/>
        </w:rPr>
        <w:t xml:space="preserve">zorganizować </w:t>
      </w:r>
      <w:r w:rsidRPr="001C5A74">
        <w:rPr>
          <w:lang w:val="pl-PL"/>
        </w:rPr>
        <w:t>badania obciążeniowej belki bramownicy</w:t>
      </w:r>
      <w:r>
        <w:rPr>
          <w:lang w:val="pl-PL"/>
        </w:rPr>
        <w:t xml:space="preserve"> </w:t>
      </w:r>
      <w:r>
        <w:rPr>
          <w:lang w:val="pl-PL"/>
        </w:rPr>
        <w:t>dla każdego bloczka na wagę minimum 800 kg</w:t>
      </w:r>
    </w:p>
    <w:p w14:paraId="24DD6E80" w14:textId="3751B437" w:rsidR="00A10F19" w:rsidRPr="00515DF5" w:rsidRDefault="00515DF5" w:rsidP="00515DF5">
      <w:pPr>
        <w:rPr>
          <w:lang w:val="pl-PL"/>
        </w:rPr>
      </w:pPr>
      <w:r w:rsidRPr="00515DF5">
        <w:rPr>
          <w:lang w:val="pl-PL"/>
        </w:rPr>
        <w:br/>
      </w:r>
    </w:p>
    <w:p w14:paraId="5DE4F3B3" w14:textId="76E492D6" w:rsidR="00A10F19" w:rsidRPr="00515DF5" w:rsidRDefault="00515DF5">
      <w:pPr>
        <w:pStyle w:val="Nagwek2"/>
        <w:rPr>
          <w:lang w:val="pl-PL"/>
        </w:rPr>
      </w:pPr>
      <w:r>
        <w:rPr>
          <w:lang w:val="pl-PL"/>
        </w:rPr>
        <w:t>4</w:t>
      </w:r>
      <w:r w:rsidRPr="00515DF5">
        <w:rPr>
          <w:lang w:val="pl-PL"/>
        </w:rPr>
        <w:t>. Wymagania materiałowe i wykonawcze</w:t>
      </w:r>
    </w:p>
    <w:p w14:paraId="078482E0" w14:textId="77777777" w:rsidR="001C5A74" w:rsidRDefault="001C5A74">
      <w:pPr>
        <w:rPr>
          <w:lang w:val="pl-PL"/>
        </w:rPr>
      </w:pPr>
      <w:r w:rsidRPr="00515DF5">
        <w:rPr>
          <w:lang w:val="pl-PL"/>
        </w:rPr>
        <w:br/>
      </w:r>
      <w:r>
        <w:rPr>
          <w:lang w:val="pl-PL"/>
        </w:rPr>
        <w:t>4.1</w:t>
      </w:r>
      <w:r w:rsidRPr="00515DF5">
        <w:rPr>
          <w:lang w:val="pl-PL"/>
        </w:rPr>
        <w:t>Materiały i prefabrykacja:</w:t>
      </w:r>
      <w:r w:rsidRPr="00515DF5">
        <w:rPr>
          <w:lang w:val="pl-PL"/>
        </w:rPr>
        <w:br/>
        <w:t>- Wykonawca zabezpiecza wszystkie niezbędne materiały i środki.</w:t>
      </w:r>
      <w:r w:rsidRPr="00515DF5">
        <w:rPr>
          <w:lang w:val="pl-PL"/>
        </w:rPr>
        <w:br/>
        <w:t>- Wszystkie elementy prefabrykowane przed instalacją muszą być wykonane zgodnie z dokumentacją wykonawczą.</w:t>
      </w:r>
      <w:r w:rsidRPr="00515DF5">
        <w:rPr>
          <w:lang w:val="pl-PL"/>
        </w:rPr>
        <w:br/>
      </w:r>
      <w:r w:rsidRPr="00515DF5">
        <w:rPr>
          <w:lang w:val="pl-PL"/>
        </w:rPr>
        <w:br/>
      </w:r>
      <w:r>
        <w:rPr>
          <w:lang w:val="pl-PL"/>
        </w:rPr>
        <w:t xml:space="preserve">4.2 </w:t>
      </w:r>
      <w:r w:rsidRPr="00515DF5">
        <w:rPr>
          <w:lang w:val="pl-PL"/>
        </w:rPr>
        <w:t>Wymogi spawalnicze:</w:t>
      </w:r>
      <w:r w:rsidRPr="00515DF5">
        <w:rPr>
          <w:lang w:val="pl-PL"/>
        </w:rPr>
        <w:br/>
        <w:t>- Spawacze muszą posiadać aktualne uprawnienia.</w:t>
      </w:r>
      <w:r w:rsidRPr="00515DF5">
        <w:rPr>
          <w:lang w:val="pl-PL"/>
        </w:rPr>
        <w:br/>
        <w:t>- Należy przedłożyć dokumentację WPS i WPQR.</w:t>
      </w:r>
      <w:r w:rsidRPr="00515DF5">
        <w:rPr>
          <w:lang w:val="pl-PL"/>
        </w:rPr>
        <w:br/>
        <w:t>- Elektrody i inne materiały spawalnicze muszą być certyfikowane wg IACS.</w:t>
      </w:r>
      <w:r w:rsidRPr="00515DF5">
        <w:rPr>
          <w:lang w:val="pl-PL"/>
        </w:rPr>
        <w:br/>
        <w:t>- Wykonawca dostarcza certyfikaty materiałowe stali wg normy 3.1.</w:t>
      </w:r>
      <w:r w:rsidRPr="00515DF5">
        <w:rPr>
          <w:lang w:val="pl-PL"/>
        </w:rPr>
        <w:br/>
      </w:r>
      <w:r w:rsidRPr="00515DF5">
        <w:rPr>
          <w:lang w:val="pl-PL"/>
        </w:rPr>
        <w:br/>
      </w:r>
      <w:r>
        <w:rPr>
          <w:lang w:val="pl-PL"/>
        </w:rPr>
        <w:t xml:space="preserve">4.3 </w:t>
      </w:r>
      <w:r w:rsidRPr="00515DF5">
        <w:rPr>
          <w:lang w:val="pl-PL"/>
        </w:rPr>
        <w:t>Powłoki malarskie:</w:t>
      </w:r>
      <w:r w:rsidRPr="00515DF5">
        <w:rPr>
          <w:lang w:val="pl-PL"/>
        </w:rPr>
        <w:br/>
        <w:t>- Wszystkie elementy muszą być pokryte farbą podkładową.</w:t>
      </w:r>
      <w:r w:rsidRPr="00515DF5">
        <w:rPr>
          <w:lang w:val="pl-PL"/>
        </w:rPr>
        <w:br/>
        <w:t>- Belka bramowa musi być dodatkowo pomalowana jedną warstwą farby nawierzchniowej – kolor biały, farba okrętowa.</w:t>
      </w:r>
      <w:r w:rsidRPr="00515DF5">
        <w:rPr>
          <w:lang w:val="pl-PL"/>
        </w:rPr>
        <w:br/>
      </w:r>
      <w:r w:rsidRPr="00515DF5">
        <w:rPr>
          <w:lang w:val="pl-PL"/>
        </w:rPr>
        <w:br/>
      </w:r>
      <w:r>
        <w:rPr>
          <w:lang w:val="pl-PL"/>
        </w:rPr>
        <w:t xml:space="preserve">4.4 </w:t>
      </w:r>
      <w:r w:rsidRPr="00515DF5">
        <w:rPr>
          <w:lang w:val="pl-PL"/>
        </w:rPr>
        <w:t>Kontrola jakości spoin:</w:t>
      </w:r>
      <w:r w:rsidRPr="00515DF5">
        <w:rPr>
          <w:lang w:val="pl-PL"/>
        </w:rPr>
        <w:br/>
        <w:t xml:space="preserve">- </w:t>
      </w:r>
      <w:r>
        <w:rPr>
          <w:lang w:val="pl-PL"/>
        </w:rPr>
        <w:t>badanie NDT (penetrant)</w:t>
      </w:r>
      <w:r w:rsidRPr="00515DF5">
        <w:rPr>
          <w:lang w:val="pl-PL"/>
        </w:rPr>
        <w:t xml:space="preserve"> (belka bramowa, mocowania belki, mocowania koszy) </w:t>
      </w:r>
      <w:r>
        <w:rPr>
          <w:lang w:val="pl-PL"/>
        </w:rPr>
        <w:t>dla minimum 15% spawów</w:t>
      </w:r>
      <w:r w:rsidRPr="00515DF5">
        <w:rPr>
          <w:lang w:val="pl-PL"/>
        </w:rPr>
        <w:br/>
        <w:t>- Wykonawca dostarcza raporty z przeprowadzonych badań nieniszczących.</w:t>
      </w:r>
    </w:p>
    <w:p w14:paraId="11438C71" w14:textId="77777777" w:rsidR="001C5A74" w:rsidRDefault="001C5A74">
      <w:pPr>
        <w:rPr>
          <w:lang w:val="pl-PL"/>
        </w:rPr>
      </w:pPr>
    </w:p>
    <w:p w14:paraId="1C63F5A3" w14:textId="77777777" w:rsidR="001C5A74" w:rsidRDefault="001C5A74">
      <w:pPr>
        <w:rPr>
          <w:lang w:val="pl-PL"/>
        </w:rPr>
      </w:pPr>
      <w:r>
        <w:rPr>
          <w:lang w:val="pl-PL"/>
        </w:rPr>
        <w:t>4.5 Prace dostępowe, zabezpieczeni miejsca prac</w:t>
      </w:r>
    </w:p>
    <w:p w14:paraId="11D841B2" w14:textId="77777777" w:rsidR="001C5A74" w:rsidRDefault="001C5A74" w:rsidP="001C5A74">
      <w:pPr>
        <w:spacing w:after="0"/>
        <w:rPr>
          <w:lang w:val="pl-PL"/>
        </w:rPr>
      </w:pPr>
      <w:r>
        <w:rPr>
          <w:lang w:val="pl-PL"/>
        </w:rPr>
        <w:lastRenderedPageBreak/>
        <w:t>-Wykonawca we własnym zakresie zabezpiecza niezbędne materiały, narzędzia oraz maszyny niezbędne do wykonania prac.</w:t>
      </w:r>
    </w:p>
    <w:p w14:paraId="3EA28602" w14:textId="143254DE" w:rsidR="001C5A74" w:rsidRDefault="001C5A74" w:rsidP="001C5A74">
      <w:pPr>
        <w:spacing w:after="0"/>
        <w:rPr>
          <w:lang w:val="pl-PL"/>
        </w:rPr>
      </w:pPr>
      <w:r>
        <w:rPr>
          <w:lang w:val="pl-PL"/>
        </w:rPr>
        <w:t>-Wykonawca zobligowany jest do zabezpieczenia przed zniszczeniem własności zamawiającego.</w:t>
      </w:r>
    </w:p>
    <w:p w14:paraId="7F1C5246" w14:textId="6A270DEF" w:rsidR="001C5A74" w:rsidRDefault="001C5A74" w:rsidP="001C5A74">
      <w:pPr>
        <w:spacing w:after="0"/>
        <w:rPr>
          <w:lang w:val="pl-PL"/>
        </w:rPr>
      </w:pPr>
      <w:r>
        <w:rPr>
          <w:lang w:val="pl-PL"/>
        </w:rPr>
        <w:t xml:space="preserve">- Jeżeli wykonawca będzie planował realizację części zlecenia z wody, to samodzielnie musi zabezpieczyć platformę pływającą. </w:t>
      </w:r>
    </w:p>
    <w:p w14:paraId="3365F3A5" w14:textId="54AB8D7B" w:rsidR="00A10F19" w:rsidRPr="00515DF5" w:rsidRDefault="001C5A74" w:rsidP="001C5A74">
      <w:pPr>
        <w:spacing w:after="0"/>
        <w:rPr>
          <w:lang w:val="pl-PL"/>
        </w:rPr>
      </w:pPr>
      <w:r>
        <w:rPr>
          <w:lang w:val="pl-PL"/>
        </w:rPr>
        <w:t xml:space="preserve">- Zamawiający zapewnia operatora do urządzeń pokładowych (brama i dźwig statkowy do prac pomocniczych) </w:t>
      </w:r>
      <w:r w:rsidRPr="00515DF5">
        <w:rPr>
          <w:lang w:val="pl-PL"/>
        </w:rPr>
        <w:br/>
      </w:r>
    </w:p>
    <w:p w14:paraId="6940BDB5" w14:textId="6CFC339F" w:rsidR="00A10F19" w:rsidRPr="00515DF5" w:rsidRDefault="00515DF5">
      <w:pPr>
        <w:pStyle w:val="Nagwek2"/>
        <w:rPr>
          <w:lang w:val="pl-PL"/>
        </w:rPr>
      </w:pPr>
      <w:r>
        <w:rPr>
          <w:lang w:val="pl-PL"/>
        </w:rPr>
        <w:t>6</w:t>
      </w:r>
      <w:r w:rsidRPr="00515DF5">
        <w:rPr>
          <w:lang w:val="pl-PL"/>
        </w:rPr>
        <w:t>. Odpowiedzialność wykonawcy</w:t>
      </w:r>
    </w:p>
    <w:p w14:paraId="73BAAE81" w14:textId="77777777" w:rsidR="00A10F19" w:rsidRPr="00515DF5" w:rsidRDefault="001C5A74">
      <w:pPr>
        <w:rPr>
          <w:lang w:val="pl-PL"/>
        </w:rPr>
      </w:pPr>
      <w:r w:rsidRPr="00515DF5">
        <w:rPr>
          <w:lang w:val="pl-PL"/>
        </w:rPr>
        <w:br/>
        <w:t>- Wykonawca ponosi pełną odpowiedzialność za zabezpieczenie jednostki podczas prac montażowych.</w:t>
      </w:r>
      <w:r w:rsidRPr="00515DF5">
        <w:rPr>
          <w:lang w:val="pl-PL"/>
        </w:rPr>
        <w:br/>
        <w:t>- Jakiekolwiek uszkodzenia statku wynikające z prac wykonawcy będą podstawą do wezwania do ich usunięcia.</w:t>
      </w:r>
      <w:r w:rsidRPr="00515DF5">
        <w:rPr>
          <w:lang w:val="pl-PL"/>
        </w:rPr>
        <w:br/>
        <w:t>- W razie odmowy naprawy szkód, armator ma prawo zlecić naprawę na koszt wykonawcy.</w:t>
      </w:r>
      <w:r w:rsidRPr="00515DF5">
        <w:rPr>
          <w:lang w:val="pl-PL"/>
        </w:rPr>
        <w:br/>
      </w:r>
    </w:p>
    <w:p w14:paraId="5BC57E54" w14:textId="3C2B6E89" w:rsidR="00A10F19" w:rsidRPr="00515DF5" w:rsidRDefault="00515DF5">
      <w:pPr>
        <w:pStyle w:val="Nagwek2"/>
        <w:rPr>
          <w:lang w:val="pl-PL"/>
        </w:rPr>
      </w:pPr>
      <w:r>
        <w:rPr>
          <w:lang w:val="pl-PL"/>
        </w:rPr>
        <w:t>7</w:t>
      </w:r>
      <w:r w:rsidRPr="00515DF5">
        <w:rPr>
          <w:lang w:val="pl-PL"/>
        </w:rPr>
        <w:t>. Dokumentacja i odbiory</w:t>
      </w:r>
    </w:p>
    <w:p w14:paraId="30C75690" w14:textId="77777777" w:rsidR="00515DF5" w:rsidRDefault="001C5A74">
      <w:pPr>
        <w:rPr>
          <w:lang w:val="pl-PL"/>
        </w:rPr>
      </w:pPr>
      <w:r w:rsidRPr="00515DF5">
        <w:rPr>
          <w:lang w:val="pl-PL"/>
        </w:rPr>
        <w:br/>
        <w:t>Wykonawca zobowiązany jest do:</w:t>
      </w:r>
      <w:r w:rsidRPr="00515DF5">
        <w:rPr>
          <w:lang w:val="pl-PL"/>
        </w:rPr>
        <w:br/>
        <w:t>- Przedstawienia pełnej dokumentacji materiałowej (certyfikaty 3.1, farby, elektrody).</w:t>
      </w:r>
      <w:r w:rsidRPr="00515DF5">
        <w:rPr>
          <w:lang w:val="pl-PL"/>
        </w:rPr>
        <w:br/>
        <w:t>- Przekazania raportów NDT.</w:t>
      </w:r>
      <w:r w:rsidRPr="00515DF5">
        <w:rPr>
          <w:lang w:val="pl-PL"/>
        </w:rPr>
        <w:br/>
        <w:t>- Zgłoszenia gotowości do odbioru po zakończeniu prac – odbiór nastąpi z udziałem przedstawiciela armatora.</w:t>
      </w:r>
    </w:p>
    <w:p w14:paraId="428C32E8" w14:textId="3FB1B889" w:rsidR="00A10F19" w:rsidRPr="00515DF5" w:rsidRDefault="00515DF5">
      <w:pPr>
        <w:rPr>
          <w:lang w:val="pl-PL"/>
        </w:rPr>
      </w:pPr>
      <w:r>
        <w:rPr>
          <w:lang w:val="pl-PL"/>
        </w:rPr>
        <w:t xml:space="preserve">- Armator będzie posiłkował się biurem projektowym odpowiedzialnym za przygotowanie dokumentacji wykonawczej w czasie odbiorów i oględzin prac. </w:t>
      </w:r>
      <w:r w:rsidRPr="00515DF5">
        <w:rPr>
          <w:lang w:val="pl-PL"/>
        </w:rPr>
        <w:br/>
      </w:r>
    </w:p>
    <w:p w14:paraId="1789D8AF" w14:textId="77777777" w:rsidR="00A10F19" w:rsidRPr="00515DF5" w:rsidRDefault="001C5A74">
      <w:pPr>
        <w:pStyle w:val="Nagwek2"/>
        <w:rPr>
          <w:lang w:val="pl-PL"/>
        </w:rPr>
      </w:pPr>
      <w:r w:rsidRPr="00515DF5">
        <w:rPr>
          <w:lang w:val="pl-PL"/>
        </w:rPr>
        <w:t>7. Uwagi końcowe</w:t>
      </w:r>
    </w:p>
    <w:p w14:paraId="1E4A625B" w14:textId="77777777" w:rsidR="00A10F19" w:rsidRPr="00515DF5" w:rsidRDefault="001C5A74">
      <w:pPr>
        <w:rPr>
          <w:lang w:val="pl-PL"/>
        </w:rPr>
      </w:pPr>
      <w:r w:rsidRPr="00515DF5">
        <w:rPr>
          <w:lang w:val="pl-PL"/>
        </w:rPr>
        <w:br/>
        <w:t>Wszystkie działania muszą być zgodne z dokumentacją wykonawczą oraz obowiązującymi przepisami klasyfikacyjnymi PRS. Wykonawca zobowiązuje się do wykonania prac z należytą starannością, zgodnie z zasadami sztuki stoczniowej oraz zapewnieniem pełnego bezpieczeństwa dla jednostki i załogi.</w:t>
      </w:r>
      <w:r w:rsidRPr="00515DF5">
        <w:rPr>
          <w:lang w:val="pl-PL"/>
        </w:rPr>
        <w:br/>
      </w:r>
    </w:p>
    <w:sectPr w:rsidR="00A10F19" w:rsidRPr="00515DF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F364566"/>
    <w:multiLevelType w:val="hybridMultilevel"/>
    <w:tmpl w:val="451CC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53881"/>
    <w:multiLevelType w:val="hybridMultilevel"/>
    <w:tmpl w:val="BAD2B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46886">
    <w:abstractNumId w:val="8"/>
  </w:num>
  <w:num w:numId="2" w16cid:durableId="828180514">
    <w:abstractNumId w:val="6"/>
  </w:num>
  <w:num w:numId="3" w16cid:durableId="1183324557">
    <w:abstractNumId w:val="5"/>
  </w:num>
  <w:num w:numId="4" w16cid:durableId="1264649589">
    <w:abstractNumId w:val="4"/>
  </w:num>
  <w:num w:numId="5" w16cid:durableId="111748807">
    <w:abstractNumId w:val="7"/>
  </w:num>
  <w:num w:numId="6" w16cid:durableId="568879438">
    <w:abstractNumId w:val="3"/>
  </w:num>
  <w:num w:numId="7" w16cid:durableId="707528597">
    <w:abstractNumId w:val="2"/>
  </w:num>
  <w:num w:numId="8" w16cid:durableId="935675881">
    <w:abstractNumId w:val="1"/>
  </w:num>
  <w:num w:numId="9" w16cid:durableId="1660032767">
    <w:abstractNumId w:val="0"/>
  </w:num>
  <w:num w:numId="10" w16cid:durableId="637884566">
    <w:abstractNumId w:val="9"/>
  </w:num>
  <w:num w:numId="11" w16cid:durableId="20489895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C5A74"/>
    <w:rsid w:val="0029639D"/>
    <w:rsid w:val="00326F90"/>
    <w:rsid w:val="00515DF5"/>
    <w:rsid w:val="008B6F12"/>
    <w:rsid w:val="00A10F19"/>
    <w:rsid w:val="00AA1D8D"/>
    <w:rsid w:val="00B47730"/>
    <w:rsid w:val="00CB0664"/>
    <w:rsid w:val="00F3480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3AC007"/>
  <w14:defaultImageDpi w14:val="300"/>
  <w15:docId w15:val="{A82011C6-738F-4ADB-98E7-DA371EBA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642</Words>
  <Characters>3856</Characters>
  <Application>Microsoft Office Word</Application>
  <DocSecurity>4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Paweł Janowski</cp:lastModifiedBy>
  <cp:revision>2</cp:revision>
  <dcterms:created xsi:type="dcterms:W3CDTF">2025-07-11T13:24:00Z</dcterms:created>
  <dcterms:modified xsi:type="dcterms:W3CDTF">2025-07-11T13:24:00Z</dcterms:modified>
  <cp:category/>
</cp:coreProperties>
</file>