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AECF2" w14:textId="4A02E661" w:rsidR="00CF1BBF" w:rsidRDefault="00C01834" w:rsidP="00C01834">
      <w:pPr>
        <w:spacing w:after="0" w:line="240" w:lineRule="auto"/>
        <w:jc w:val="right"/>
        <w:rPr>
          <w:rFonts w:ascii="Cambria" w:hAnsi="Cambria" w:cs="Cambria"/>
          <w:noProof/>
          <w:sz w:val="24"/>
          <w:szCs w:val="24"/>
          <w:lang w:val="pl-PL"/>
        </w:rPr>
      </w:pPr>
      <w:r>
        <w:rPr>
          <w:rFonts w:ascii="Cambria" w:hAnsi="Cambria" w:cs="Cambria"/>
          <w:noProof/>
          <w:sz w:val="24"/>
          <w:szCs w:val="24"/>
          <w:lang w:val="pl-PL"/>
        </w:rPr>
        <w:t xml:space="preserve">Załącznik nr </w:t>
      </w:r>
      <w:r w:rsidR="00BB23DA">
        <w:rPr>
          <w:rFonts w:ascii="Cambria" w:hAnsi="Cambria" w:cs="Cambria"/>
          <w:noProof/>
          <w:sz w:val="24"/>
          <w:szCs w:val="24"/>
          <w:lang w:val="pl-PL"/>
        </w:rPr>
        <w:t>4</w:t>
      </w:r>
    </w:p>
    <w:p w14:paraId="4C3D687F" w14:textId="25FB8BB5" w:rsidR="00C01834" w:rsidRDefault="00C01834" w:rsidP="00C01834">
      <w:pPr>
        <w:spacing w:after="0" w:line="240" w:lineRule="auto"/>
        <w:jc w:val="center"/>
        <w:rPr>
          <w:rFonts w:ascii="Cambria" w:hAnsi="Cambria" w:cs="Cambria"/>
          <w:b/>
          <w:noProof/>
          <w:sz w:val="28"/>
          <w:szCs w:val="24"/>
          <w:lang w:val="pl-PL"/>
        </w:rPr>
      </w:pPr>
      <w:r w:rsidRPr="00C01834">
        <w:rPr>
          <w:rFonts w:ascii="Cambria" w:hAnsi="Cambria" w:cs="Cambria"/>
          <w:b/>
          <w:noProof/>
          <w:sz w:val="28"/>
          <w:szCs w:val="24"/>
          <w:lang w:val="pl-PL"/>
        </w:rPr>
        <w:t>Szczegółowy opis przedmiotu zamówienia</w:t>
      </w:r>
    </w:p>
    <w:p w14:paraId="3E2B64BD" w14:textId="77777777" w:rsidR="002D07C5" w:rsidRPr="00C01834" w:rsidRDefault="002D07C5" w:rsidP="002D07C5">
      <w:pPr>
        <w:pBdr>
          <w:bottom w:val="single" w:sz="4" w:space="1" w:color="auto"/>
        </w:pBdr>
        <w:spacing w:after="0" w:line="240" w:lineRule="auto"/>
        <w:jc w:val="center"/>
        <w:rPr>
          <w:rFonts w:ascii="Cambria" w:hAnsi="Cambria" w:cs="Cambria"/>
          <w:b/>
          <w:noProof/>
          <w:sz w:val="28"/>
          <w:szCs w:val="24"/>
          <w:lang w:val="pl-PL"/>
        </w:rPr>
      </w:pPr>
    </w:p>
    <w:p w14:paraId="715D2E34" w14:textId="1EC287C4" w:rsidR="00C01834" w:rsidRPr="00C01834" w:rsidRDefault="00C01834" w:rsidP="00C01834">
      <w:pPr>
        <w:spacing w:after="0" w:line="240" w:lineRule="auto"/>
        <w:jc w:val="center"/>
        <w:rPr>
          <w:rFonts w:ascii="Cambria" w:hAnsi="Cambria" w:cs="Cambria"/>
          <w:b/>
          <w:noProof/>
          <w:sz w:val="28"/>
          <w:szCs w:val="24"/>
          <w:lang w:val="pl-PL"/>
        </w:rPr>
      </w:pPr>
    </w:p>
    <w:p w14:paraId="27DF1BE2" w14:textId="269F4E1A" w:rsidR="00C01834" w:rsidRDefault="00C01834" w:rsidP="00C01834">
      <w:pPr>
        <w:spacing w:after="0" w:line="240" w:lineRule="auto"/>
        <w:rPr>
          <w:rFonts w:ascii="Cambria" w:hAnsi="Cambria" w:cs="Cambria"/>
          <w:b/>
          <w:noProof/>
          <w:sz w:val="28"/>
          <w:szCs w:val="24"/>
          <w:lang w:val="pl-PL"/>
        </w:rPr>
      </w:pPr>
      <w:r w:rsidRPr="00C01834">
        <w:rPr>
          <w:rFonts w:ascii="Cambria" w:hAnsi="Cambria" w:cs="Cambria"/>
          <w:b/>
          <w:noProof/>
          <w:sz w:val="28"/>
          <w:szCs w:val="24"/>
          <w:lang w:val="pl-PL"/>
        </w:rPr>
        <w:t>Zadanie 1 - Relokacja sprzętu Oracle</w:t>
      </w:r>
      <w:r w:rsidR="00DB4F02">
        <w:rPr>
          <w:rFonts w:ascii="Cambria" w:hAnsi="Cambria" w:cs="Cambria"/>
          <w:b/>
          <w:noProof/>
          <w:sz w:val="28"/>
          <w:szCs w:val="24"/>
          <w:lang w:val="pl-PL"/>
        </w:rPr>
        <w:t xml:space="preserve"> </w:t>
      </w:r>
      <w:r w:rsidR="00DB4F02" w:rsidRPr="00DB4F02">
        <w:rPr>
          <w:rFonts w:ascii="Cambria" w:hAnsi="Cambria" w:cs="Cambria"/>
          <w:b/>
          <w:noProof/>
          <w:color w:val="FF0000"/>
          <w:sz w:val="28"/>
          <w:szCs w:val="24"/>
          <w:lang w:val="pl-PL"/>
        </w:rPr>
        <w:t>(po zmianie 1)</w:t>
      </w:r>
    </w:p>
    <w:p w14:paraId="1025DDBD" w14:textId="77777777" w:rsidR="00F71CC4" w:rsidRDefault="00F71CC4" w:rsidP="00C01834">
      <w:pPr>
        <w:spacing w:after="0" w:line="240" w:lineRule="auto"/>
        <w:rPr>
          <w:rFonts w:ascii="Cambria" w:hAnsi="Cambria" w:cs="Cambria"/>
          <w:b/>
          <w:noProof/>
          <w:sz w:val="28"/>
          <w:szCs w:val="24"/>
          <w:lang w:val="pl-PL"/>
        </w:rPr>
      </w:pPr>
    </w:p>
    <w:p w14:paraId="04FEBCA7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1) Relokacja</w:t>
      </w:r>
    </w:p>
    <w:p w14:paraId="3B97F4B0" w14:textId="28674FA1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Usługa obejmuje relokację urządzeń wyszczególnionych w terminie uzgodnionym z Zamawiającym.</w:t>
      </w:r>
    </w:p>
    <w:p w14:paraId="4F92C93F" w14:textId="7A36E260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Prace wykonywane będą w godz</w:t>
      </w:r>
      <w:r w:rsidRPr="002D07C5">
        <w:rPr>
          <w:rFonts w:ascii="CIDFont+F1" w:hAnsi="CIDFont+F1" w:cs="CIDFont+F1"/>
          <w:sz w:val="24"/>
          <w:szCs w:val="24"/>
          <w:lang w:val="pl-PL" w:eastAsia="pl-PL"/>
        </w:rPr>
        <w:t xml:space="preserve">. 9:00-17:00 (do ustalenia) w 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ciągu </w:t>
      </w:r>
      <w:r w:rsidR="00DB4F02" w:rsidRPr="00DB4F02">
        <w:rPr>
          <w:rFonts w:ascii="CIDFont+F1" w:hAnsi="CIDFont+F1" w:cs="CIDFont+F1"/>
          <w:color w:val="FF0000"/>
          <w:sz w:val="24"/>
          <w:szCs w:val="24"/>
          <w:lang w:val="pl-PL" w:eastAsia="pl-PL"/>
        </w:rPr>
        <w:t>14</w:t>
      </w:r>
      <w:r w:rsidRPr="00DB4F02">
        <w:rPr>
          <w:rFonts w:ascii="CIDFont+F1" w:hAnsi="CIDFont+F1" w:cs="CIDFont+F1"/>
          <w:color w:val="FF0000"/>
          <w:sz w:val="24"/>
          <w:szCs w:val="24"/>
          <w:lang w:val="pl-PL" w:eastAsia="pl-PL"/>
        </w:rPr>
        <w:t xml:space="preserve"> dni roboczych 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(termin zostanie uzgodniony)</w:t>
      </w:r>
      <w:r w:rsidR="00B303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.</w:t>
      </w:r>
    </w:p>
    <w:p w14:paraId="4D3F5066" w14:textId="2C47E36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Relokacja odbędzie się z adresu ul. Długi Targ 41/42 Gdańsk do siedziby pod adresem ul. Roberta de Plelo 20 Gdańsk</w:t>
      </w:r>
      <w:r w:rsidR="00B303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.</w:t>
      </w:r>
    </w:p>
    <w:p w14:paraId="10FC4315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2) Zakres relokacji</w:t>
      </w:r>
    </w:p>
    <w:p w14:paraId="38A630EE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Sprzęt objęty relokacją obecnie zainstalowany jest:</w:t>
      </w:r>
    </w:p>
    <w:p w14:paraId="5AAFEC0E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1 szafa RACK - serwery Oracle</w:t>
      </w:r>
    </w:p>
    <w:p w14:paraId="29FFCDDF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2 szafy RACK - macierz ZFS</w:t>
      </w:r>
    </w:p>
    <w:p w14:paraId="5589B65B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3 moduły (szafy RACK) - biblioteka SL300</w:t>
      </w:r>
    </w:p>
    <w:p w14:paraId="1F25B2CD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044931FA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3" w:hAnsi="CIDFont+F3" w:cs="CIDFont+F3"/>
          <w:color w:val="000000"/>
          <w:sz w:val="24"/>
          <w:szCs w:val="24"/>
          <w:lang w:val="pl-PL" w:eastAsia="pl-PL"/>
        </w:rPr>
      </w:pPr>
      <w:r>
        <w:rPr>
          <w:rFonts w:ascii="CIDFont+F3" w:hAnsi="CIDFont+F3" w:cs="CIDFont+F3"/>
          <w:color w:val="000000"/>
          <w:sz w:val="24"/>
          <w:szCs w:val="24"/>
          <w:lang w:val="pl-PL" w:eastAsia="pl-PL"/>
        </w:rPr>
        <w:t>Serwery Oracle</w:t>
      </w:r>
    </w:p>
    <w:p w14:paraId="070EEC96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T4-2- 1 - SN:/</w:t>
      </w:r>
    </w:p>
    <w:p w14:paraId="6296E2C6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Serwer 2 - SN:/</w:t>
      </w:r>
      <w:bookmarkStart w:id="0" w:name="_GoBack"/>
      <w:bookmarkEnd w:id="0"/>
    </w:p>
    <w:p w14:paraId="5186AD2E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Serwer 3 - SN:/</w:t>
      </w:r>
    </w:p>
    <w:p w14:paraId="36AEA317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Serwer 4 - SN:/</w:t>
      </w:r>
    </w:p>
    <w:p w14:paraId="64B379FA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545B56BE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3" w:hAnsi="CIDFont+F3" w:cs="CIDFont+F3"/>
          <w:color w:val="000000"/>
          <w:sz w:val="24"/>
          <w:szCs w:val="24"/>
          <w:lang w:val="pl-PL" w:eastAsia="pl-PL"/>
        </w:rPr>
      </w:pPr>
      <w:r>
        <w:rPr>
          <w:rFonts w:ascii="CIDFont+F3" w:hAnsi="CIDFont+F3" w:cs="CIDFont+F3"/>
          <w:color w:val="000000"/>
          <w:sz w:val="24"/>
          <w:szCs w:val="24"/>
          <w:lang w:val="pl-PL" w:eastAsia="pl-PL"/>
        </w:rPr>
        <w:t>Macierz Oracle ZS5-2 (?)</w:t>
      </w:r>
    </w:p>
    <w:p w14:paraId="4F1B9894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Głowica l - SN:/</w:t>
      </w:r>
    </w:p>
    <w:p w14:paraId="70B952A2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Głowica II - SN:/</w:t>
      </w:r>
    </w:p>
    <w:p w14:paraId="10A40E23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Expansion </w:t>
      </w:r>
      <w:proofErr w:type="spellStart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Enclosure</w:t>
      </w:r>
      <w:proofErr w:type="spellEnd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1 -SN:/</w:t>
      </w:r>
    </w:p>
    <w:p w14:paraId="00BEFCCE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Expansion </w:t>
      </w:r>
      <w:proofErr w:type="spellStart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Enclosure</w:t>
      </w:r>
      <w:proofErr w:type="spellEnd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2 -SN:/</w:t>
      </w:r>
    </w:p>
    <w:p w14:paraId="39F52521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Expansion </w:t>
      </w:r>
      <w:proofErr w:type="spellStart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Enclosure</w:t>
      </w:r>
      <w:proofErr w:type="spellEnd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3 -SN:/</w:t>
      </w:r>
    </w:p>
    <w:p w14:paraId="0C9E48F8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Expansion </w:t>
      </w:r>
      <w:proofErr w:type="spellStart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Enclosure</w:t>
      </w:r>
      <w:proofErr w:type="spellEnd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4 -SN:/</w:t>
      </w:r>
    </w:p>
    <w:p w14:paraId="2F621934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Expansion </w:t>
      </w:r>
      <w:proofErr w:type="spellStart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Enclosure</w:t>
      </w:r>
      <w:proofErr w:type="spellEnd"/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5 -SN:/</w:t>
      </w:r>
    </w:p>
    <w:p w14:paraId="616DA1D3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45E615DC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3" w:hAnsi="CIDFont+F3" w:cs="CIDFont+F3"/>
          <w:color w:val="000000"/>
          <w:sz w:val="24"/>
          <w:szCs w:val="24"/>
          <w:lang w:val="pl-PL" w:eastAsia="pl-PL"/>
        </w:rPr>
      </w:pPr>
      <w:r>
        <w:rPr>
          <w:rFonts w:ascii="CIDFont+F3" w:hAnsi="CIDFont+F3" w:cs="CIDFont+F3"/>
          <w:color w:val="000000"/>
          <w:sz w:val="24"/>
          <w:szCs w:val="24"/>
          <w:lang w:val="pl-PL" w:eastAsia="pl-PL"/>
        </w:rPr>
        <w:t>Biblioteka Oracle SL3000</w:t>
      </w:r>
    </w:p>
    <w:p w14:paraId="26E17C94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Library SL3000 - SN:/</w:t>
      </w:r>
    </w:p>
    <w:p w14:paraId="33750392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3" w:hAnsi="CIDFont+F3" w:cs="CIDFont+F3"/>
          <w:color w:val="000000"/>
          <w:sz w:val="24"/>
          <w:szCs w:val="24"/>
          <w:lang w:val="pl-PL" w:eastAsia="pl-PL"/>
        </w:rPr>
      </w:pPr>
      <w:r>
        <w:rPr>
          <w:rFonts w:ascii="CIDFont+F3" w:hAnsi="CIDFont+F3" w:cs="CIDFont+F3"/>
          <w:color w:val="000000"/>
          <w:sz w:val="24"/>
          <w:szCs w:val="24"/>
          <w:lang w:val="pl-PL" w:eastAsia="pl-PL"/>
        </w:rPr>
        <w:t>Przełączniki SAN</w:t>
      </w:r>
    </w:p>
    <w:p w14:paraId="2B16CEA8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Przełącznik 1 - SN:/</w:t>
      </w:r>
    </w:p>
    <w:p w14:paraId="2502DBF9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Przełącznik 2 - SN:/</w:t>
      </w:r>
    </w:p>
    <w:p w14:paraId="79BDAA3B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3" w:hAnsi="CIDFont+F3" w:cs="CIDFont+F3"/>
          <w:color w:val="000000"/>
          <w:sz w:val="24"/>
          <w:szCs w:val="24"/>
          <w:lang w:val="pl-PL" w:eastAsia="pl-PL"/>
        </w:rPr>
      </w:pPr>
      <w:r>
        <w:rPr>
          <w:rFonts w:ascii="CIDFont+F3" w:hAnsi="CIDFont+F3" w:cs="CIDFont+F3"/>
          <w:color w:val="000000"/>
          <w:sz w:val="24"/>
          <w:szCs w:val="24"/>
          <w:lang w:val="pl-PL" w:eastAsia="pl-PL"/>
        </w:rPr>
        <w:t>Przełączniki LAN</w:t>
      </w:r>
    </w:p>
    <w:p w14:paraId="7C38A446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Przełącznik 1 - SN:/</w:t>
      </w:r>
    </w:p>
    <w:p w14:paraId="24030199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Przełącznik 2 - SN:/</w:t>
      </w:r>
    </w:p>
    <w:p w14:paraId="22612147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03465A58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3) Czynności, które będą wykonane w ramach relokacji:</w:t>
      </w:r>
    </w:p>
    <w:p w14:paraId="3D048243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1. Weryfikacja stanu relokowanych systemów przed relokacją (odnotowanie ewentualnych błędów).</w:t>
      </w:r>
    </w:p>
    <w:p w14:paraId="71062931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2. Wykonawca zdemontuje sprzęt wraz z okablowaniem i szynami montażowymi po zgłoszeniu przez Zamawiającego gotowości.</w:t>
      </w:r>
    </w:p>
    <w:p w14:paraId="14674061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3. Zabezpieczenie sprzętu do transportu, transport na terenie Gdańska, rozładunek i wniesienie do serwerowni docelowej, aklimatyzacja.</w:t>
      </w:r>
    </w:p>
    <w:p w14:paraId="581D7B37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4. Montaż sprzętu w szafach.</w:t>
      </w:r>
    </w:p>
    <w:p w14:paraId="7E0CCCBC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5. Podłączenie okablowania LAN/SAN oraz zasilania w obrębie szafy RACK,</w:t>
      </w:r>
    </w:p>
    <w:p w14:paraId="4C174DBE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lastRenderedPageBreak/>
        <w:t>6. Uruchomienie sprzętu i potwierdzenie jego stanu (brak awarii sprzętowych)</w:t>
      </w:r>
    </w:p>
    <w:p w14:paraId="350E5F32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7. W przypadku wystąpienia awarii powierzonego sprzętu lub innych elementów Systemu, w tym oprogramowania podczas realokacji, Wykonawca podejmie próbę diagnostyki i przygotowanie planu naprawy. Wszelkie koszty usunięcia usterki będą wymagały akceptacji Zamawiającego.</w:t>
      </w:r>
    </w:p>
    <w:p w14:paraId="0366CD98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8. Przejęcie i zdanie sprzętu przed i po realokacji, zostanie potwierdzone obustronnie na protokołach dostarczonych przez pracowników Zamawiającego.</w:t>
      </w:r>
    </w:p>
    <w:p w14:paraId="19E9FE30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40C9333B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4) Obowiązki Zamawiającego</w:t>
      </w:r>
    </w:p>
    <w:p w14:paraId="01BF3654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1. Wykonanie kopii zapasowej danych zapisanych na relokowanych urządzeniach.</w:t>
      </w:r>
    </w:p>
    <w:p w14:paraId="1F93EA77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2. Zapewnienie dostępu do pomieszczeń w obydwu lokalizacjach.</w:t>
      </w:r>
    </w:p>
    <w:p w14:paraId="0896A8AF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3. Wykonanie testowego restartu relokowanych systemów i potwierdzenie ich prawidłowego uruchomienia się.</w:t>
      </w:r>
    </w:p>
    <w:p w14:paraId="16D1F6B4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4. Wyłączenie relokowanych systemów, serwerów, macierzy przed rozpoczęciem demontażu (z asystą Wykonawcy)</w:t>
      </w:r>
    </w:p>
    <w:p w14:paraId="0FF2028D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5. Wskazanie miejsca instalacji (ustawienia szaf RACK) w docelowej lokalizacji.</w:t>
      </w:r>
    </w:p>
    <w:p w14:paraId="5258A6AD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6. Zapewnienie zasilania dla wszystkich relokowanych szaf RACK w lokalizacji docelowej. Konieczna jest asysta elektryka który wykona podłączenie szaf RACK do obwodów zasilania w serwerowni.</w:t>
      </w:r>
    </w:p>
    <w:p w14:paraId="2DFF1151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7. Przygotowanie protokołów przekazania I odbioru sprzętu</w:t>
      </w:r>
    </w:p>
    <w:p w14:paraId="2D481B6E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42511DFB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5) Zakres odpowiedzialności</w:t>
      </w:r>
    </w:p>
    <w:p w14:paraId="3CF809EA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Wykonawca deklaruje wykonanie usługi relokacji z najwyższa fachowością I starannością.</w:t>
      </w:r>
    </w:p>
    <w:p w14:paraId="12A126C9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Wykonawca nie ponosi odpowiedzialności za:</w:t>
      </w:r>
    </w:p>
    <w:p w14:paraId="4B599927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1) Utratę danych</w:t>
      </w:r>
    </w:p>
    <w:p w14:paraId="4755467B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2) Awarie sprzętowe powstałe w trakcie relokacji</w:t>
      </w:r>
    </w:p>
    <w:p w14:paraId="2D7DCA4E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Wykonawca deklaruje pomoc w diagnostyce takich awarii, przygotowanie planu naprawy oraz kosztorysu.</w:t>
      </w:r>
    </w:p>
    <w:p w14:paraId="4DC6E235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3) Ze względu na nieznany (niestabilny) stan relokowanych systemów (serwer po restarcie nie uruchamia się prawidłowo) Wykonawca nie gwarantuje prawidłowego uruchomienia się systemów po relokacji.</w:t>
      </w:r>
    </w:p>
    <w:p w14:paraId="61E0FD38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b/>
          <w:noProof/>
          <w:sz w:val="28"/>
          <w:szCs w:val="24"/>
          <w:lang w:val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Wykonawca deklaruje pomoc w diagnostyce przyczyny nie uruchamiania się systemu, przygotowanie planu naprawy I kosztorysu</w:t>
      </w:r>
    </w:p>
    <w:p w14:paraId="7D504FF9" w14:textId="77777777" w:rsidR="00F71CC4" w:rsidRDefault="00F71CC4" w:rsidP="00AC27D3">
      <w:pPr>
        <w:pBdr>
          <w:bottom w:val="single" w:sz="4" w:space="1" w:color="auto"/>
        </w:pBdr>
        <w:spacing w:after="0" w:line="240" w:lineRule="auto"/>
        <w:rPr>
          <w:rFonts w:ascii="Cambria" w:hAnsi="Cambria" w:cs="Cambria"/>
          <w:b/>
          <w:noProof/>
          <w:sz w:val="28"/>
          <w:szCs w:val="24"/>
          <w:lang w:val="pl-PL"/>
        </w:rPr>
      </w:pPr>
    </w:p>
    <w:p w14:paraId="4D5AC96C" w14:textId="77777777" w:rsidR="00F71CC4" w:rsidRDefault="00F71CC4" w:rsidP="00C01834">
      <w:pPr>
        <w:spacing w:after="0" w:line="240" w:lineRule="auto"/>
        <w:rPr>
          <w:rFonts w:ascii="Cambria" w:hAnsi="Cambria" w:cs="Cambria"/>
          <w:b/>
          <w:noProof/>
          <w:sz w:val="28"/>
          <w:szCs w:val="24"/>
          <w:lang w:val="pl-PL"/>
        </w:rPr>
      </w:pPr>
    </w:p>
    <w:p w14:paraId="42C5B635" w14:textId="4BD534E3" w:rsidR="00C01834" w:rsidRDefault="00C01834" w:rsidP="00C01834">
      <w:pPr>
        <w:spacing w:after="0" w:line="240" w:lineRule="auto"/>
        <w:rPr>
          <w:rFonts w:ascii="Cambria" w:hAnsi="Cambria" w:cs="Cambria"/>
          <w:b/>
          <w:noProof/>
          <w:sz w:val="28"/>
          <w:szCs w:val="24"/>
          <w:lang w:val="pl-PL"/>
        </w:rPr>
      </w:pPr>
      <w:r w:rsidRPr="00C01834">
        <w:rPr>
          <w:rFonts w:ascii="Cambria" w:hAnsi="Cambria" w:cs="Cambria"/>
          <w:b/>
          <w:noProof/>
          <w:sz w:val="28"/>
          <w:szCs w:val="24"/>
          <w:lang w:val="pl-PL"/>
        </w:rPr>
        <w:t>Zadanie 2 - Relokacja sprzętu Dell</w:t>
      </w:r>
    </w:p>
    <w:p w14:paraId="0882D732" w14:textId="1E8650D7" w:rsidR="002D07C5" w:rsidRDefault="002D07C5" w:rsidP="00C01834">
      <w:pPr>
        <w:spacing w:after="0" w:line="240" w:lineRule="auto"/>
        <w:rPr>
          <w:rFonts w:ascii="Cambria" w:hAnsi="Cambria" w:cs="Cambria"/>
          <w:b/>
          <w:noProof/>
          <w:sz w:val="28"/>
          <w:szCs w:val="24"/>
          <w:lang w:val="pl-PL"/>
        </w:rPr>
      </w:pPr>
    </w:p>
    <w:p w14:paraId="272F1EDD" w14:textId="77777777" w:rsidR="008658C5" w:rsidRPr="00F71CC4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Instytut Morski Uniwersytet Morski w Gdyni musi przenieść działającą infrastrukturę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informatyczną jednostek Instytutu z lokalizacji: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Długi Targ 41/42,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80-830 Gdańsk</w:t>
      </w:r>
    </w:p>
    <w:p w14:paraId="55BFD4D5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Do nowej lokalizacji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ul. Roberta de Plelo 20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,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80-548 Gdańsk</w:t>
      </w:r>
    </w:p>
    <w:p w14:paraId="3B54D355" w14:textId="622101B5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11094E1A" w14:textId="26665DE3" w:rsidR="00B303C4" w:rsidRDefault="00B303C4" w:rsidP="00B303C4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Prace wykonywane będą w godz</w:t>
      </w:r>
      <w:r w:rsidRPr="002D07C5">
        <w:rPr>
          <w:rFonts w:ascii="CIDFont+F1" w:hAnsi="CIDFont+F1" w:cs="CIDFont+F1"/>
          <w:sz w:val="24"/>
          <w:szCs w:val="24"/>
          <w:lang w:val="pl-PL" w:eastAsia="pl-PL"/>
        </w:rPr>
        <w:t xml:space="preserve">. 9:00-17:00 (do ustalenia) w 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ciągu 10 dni roboczych (termin zostanie uzgodniony).</w:t>
      </w:r>
    </w:p>
    <w:p w14:paraId="274B5BB1" w14:textId="77777777" w:rsidR="00B303C4" w:rsidRDefault="00B303C4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403C498F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Projekt ma na celu przygotowanie a następnie bezpieczne przeniesienie środowiska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produkcyjnego klienta do innej fizycznej lokalizacji. W ramach projektu należy wyszczególnić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część przygotowawczą obejmującą inwentaryzacje i przygotowanie założeń, tworzenie i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testowanie kopii zapasowych, przeniesienie fizyczne środowiska oraz uruchomienie go w nowej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lokalizacji. W zakresie prac ujęta jest również dokumentacja techniczna jako projekt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powykonawczy.</w:t>
      </w:r>
    </w:p>
    <w:p w14:paraId="63DEB915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726F3511" w14:textId="77777777" w:rsidR="008658C5" w:rsidRPr="00F71CC4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 ramach zakresu prac zobligowane będzie do fizycznego demontażu,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przetransportowania a następnie montażu całego środowiska w nowej lokalizacji wyznaczonej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przez klienta. Zakres prac obejmuje grupy zadań identyfikowane jako:</w:t>
      </w:r>
    </w:p>
    <w:p w14:paraId="2F53B03B" w14:textId="77777777" w:rsidR="008658C5" w:rsidRPr="00F71CC4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Inwentaryzacja</w:t>
      </w:r>
    </w:p>
    <w:p w14:paraId="389CA65E" w14:textId="77777777" w:rsidR="008658C5" w:rsidRPr="00F71CC4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lastRenderedPageBreak/>
        <w:t>Migracja</w:t>
      </w:r>
    </w:p>
    <w:p w14:paraId="6CA7434E" w14:textId="77777777" w:rsidR="008658C5" w:rsidRPr="00F71CC4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Wdrożenie / uruchomienie</w:t>
      </w:r>
    </w:p>
    <w:p w14:paraId="67CDFB66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2614"/>
        <w:gridCol w:w="3623"/>
      </w:tblGrid>
      <w:tr w:rsidR="008658C5" w14:paraId="3C5502DD" w14:textId="77777777" w:rsidTr="002C3FDF">
        <w:tc>
          <w:tcPr>
            <w:tcW w:w="3539" w:type="dxa"/>
          </w:tcPr>
          <w:p w14:paraId="64325FD4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Zadanie</w:t>
            </w:r>
            <w:proofErr w:type="spellEnd"/>
            <w:r w:rsidRPr="00132789">
              <w:t xml:space="preserve"> </w:t>
            </w:r>
          </w:p>
        </w:tc>
        <w:tc>
          <w:tcPr>
            <w:tcW w:w="2614" w:type="dxa"/>
          </w:tcPr>
          <w:p w14:paraId="7B9337CE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Czas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realizacji</w:t>
            </w:r>
            <w:proofErr w:type="spellEnd"/>
            <w:r w:rsidRPr="00132789">
              <w:t xml:space="preserve"> </w:t>
            </w:r>
          </w:p>
        </w:tc>
        <w:tc>
          <w:tcPr>
            <w:tcW w:w="3623" w:type="dxa"/>
          </w:tcPr>
          <w:p w14:paraId="59D0DA56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Uwagi</w:t>
            </w:r>
            <w:proofErr w:type="spellEnd"/>
          </w:p>
        </w:tc>
      </w:tr>
      <w:tr w:rsidR="008658C5" w14:paraId="48DB0B42" w14:textId="77777777" w:rsidTr="002C3FDF">
        <w:tc>
          <w:tcPr>
            <w:tcW w:w="3539" w:type="dxa"/>
          </w:tcPr>
          <w:p w14:paraId="245BA829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Inwentaryzacja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fizyczna</w:t>
            </w:r>
            <w:proofErr w:type="spellEnd"/>
            <w:r w:rsidRPr="00132789">
              <w:t xml:space="preserve"> </w:t>
            </w:r>
          </w:p>
        </w:tc>
        <w:tc>
          <w:tcPr>
            <w:tcW w:w="2614" w:type="dxa"/>
          </w:tcPr>
          <w:p w14:paraId="6B4EF87F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r w:rsidRPr="00132789">
              <w:t xml:space="preserve">3 dni </w:t>
            </w:r>
          </w:p>
        </w:tc>
        <w:tc>
          <w:tcPr>
            <w:tcW w:w="3623" w:type="dxa"/>
          </w:tcPr>
          <w:p w14:paraId="4FA0048A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Wykonanie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zdjęć</w:t>
            </w:r>
            <w:proofErr w:type="spellEnd"/>
            <w:r w:rsidRPr="00132789">
              <w:t xml:space="preserve"> i </w:t>
            </w:r>
            <w:proofErr w:type="spellStart"/>
            <w:r w:rsidRPr="00132789">
              <w:t>dokumentacji</w:t>
            </w:r>
            <w:proofErr w:type="spellEnd"/>
          </w:p>
        </w:tc>
      </w:tr>
      <w:tr w:rsidR="008658C5" w14:paraId="5248D342" w14:textId="77777777" w:rsidTr="002C3FDF">
        <w:tc>
          <w:tcPr>
            <w:tcW w:w="3539" w:type="dxa"/>
          </w:tcPr>
          <w:p w14:paraId="164BB6C0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Kopie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zapasowe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systemów</w:t>
            </w:r>
            <w:proofErr w:type="spellEnd"/>
            <w:r w:rsidRPr="00132789">
              <w:t xml:space="preserve"> </w:t>
            </w:r>
          </w:p>
        </w:tc>
        <w:tc>
          <w:tcPr>
            <w:tcW w:w="2614" w:type="dxa"/>
          </w:tcPr>
          <w:p w14:paraId="71AE9A12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r w:rsidRPr="00132789">
              <w:t xml:space="preserve">2 dni </w:t>
            </w:r>
          </w:p>
        </w:tc>
        <w:tc>
          <w:tcPr>
            <w:tcW w:w="3623" w:type="dxa"/>
          </w:tcPr>
          <w:p w14:paraId="525998D4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Weryfikacja</w:t>
            </w:r>
            <w:proofErr w:type="spellEnd"/>
            <w:r w:rsidRPr="00132789">
              <w:t xml:space="preserve"> i test </w:t>
            </w:r>
            <w:proofErr w:type="spellStart"/>
            <w:r w:rsidRPr="00132789">
              <w:t>kopii</w:t>
            </w:r>
            <w:proofErr w:type="spellEnd"/>
          </w:p>
        </w:tc>
      </w:tr>
      <w:tr w:rsidR="008658C5" w14:paraId="2EF572C8" w14:textId="77777777" w:rsidTr="002C3FDF">
        <w:tc>
          <w:tcPr>
            <w:tcW w:w="3539" w:type="dxa"/>
          </w:tcPr>
          <w:p w14:paraId="4EDD6770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Demontaż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infrastruktury</w:t>
            </w:r>
            <w:proofErr w:type="spellEnd"/>
            <w:r w:rsidRPr="00132789">
              <w:t xml:space="preserve"> </w:t>
            </w:r>
          </w:p>
        </w:tc>
        <w:tc>
          <w:tcPr>
            <w:tcW w:w="2614" w:type="dxa"/>
          </w:tcPr>
          <w:p w14:paraId="1ED61313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r w:rsidRPr="00132789">
              <w:t xml:space="preserve">1 </w:t>
            </w:r>
            <w:proofErr w:type="spellStart"/>
            <w:r w:rsidRPr="00132789">
              <w:t>dzień</w:t>
            </w:r>
            <w:proofErr w:type="spellEnd"/>
            <w:r w:rsidRPr="00132789">
              <w:t xml:space="preserve"> </w:t>
            </w:r>
          </w:p>
        </w:tc>
        <w:tc>
          <w:tcPr>
            <w:tcW w:w="3623" w:type="dxa"/>
          </w:tcPr>
          <w:p w14:paraId="15A67C26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Zabezpieczenie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sprzętu</w:t>
            </w:r>
            <w:proofErr w:type="spellEnd"/>
          </w:p>
        </w:tc>
      </w:tr>
      <w:tr w:rsidR="008658C5" w14:paraId="48DA95DC" w14:textId="77777777" w:rsidTr="002C3FDF">
        <w:tc>
          <w:tcPr>
            <w:tcW w:w="3539" w:type="dxa"/>
          </w:tcPr>
          <w:p w14:paraId="1941263F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r w:rsidRPr="00132789">
              <w:t xml:space="preserve">Transport do </w:t>
            </w:r>
            <w:proofErr w:type="spellStart"/>
            <w:r w:rsidRPr="00132789">
              <w:t>nowej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lokalizacji</w:t>
            </w:r>
            <w:proofErr w:type="spellEnd"/>
            <w:r w:rsidRPr="00132789">
              <w:t xml:space="preserve"> </w:t>
            </w:r>
          </w:p>
        </w:tc>
        <w:tc>
          <w:tcPr>
            <w:tcW w:w="2614" w:type="dxa"/>
          </w:tcPr>
          <w:p w14:paraId="7364EC37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r w:rsidRPr="00132789">
              <w:t xml:space="preserve">1 </w:t>
            </w:r>
            <w:proofErr w:type="spellStart"/>
            <w:r w:rsidRPr="00132789">
              <w:t>dzień</w:t>
            </w:r>
            <w:proofErr w:type="spellEnd"/>
            <w:r w:rsidRPr="00132789">
              <w:t xml:space="preserve"> </w:t>
            </w:r>
          </w:p>
        </w:tc>
        <w:tc>
          <w:tcPr>
            <w:tcW w:w="3623" w:type="dxa"/>
          </w:tcPr>
          <w:p w14:paraId="01C6F611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Koordynacja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logistyczna</w:t>
            </w:r>
            <w:proofErr w:type="spellEnd"/>
          </w:p>
        </w:tc>
      </w:tr>
      <w:tr w:rsidR="008658C5" w14:paraId="4DB6B318" w14:textId="77777777" w:rsidTr="002C3FDF">
        <w:tc>
          <w:tcPr>
            <w:tcW w:w="3539" w:type="dxa"/>
          </w:tcPr>
          <w:p w14:paraId="04B3EECC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Montaż</w:t>
            </w:r>
            <w:proofErr w:type="spellEnd"/>
            <w:r w:rsidRPr="00132789">
              <w:t xml:space="preserve"> i </w:t>
            </w:r>
            <w:proofErr w:type="spellStart"/>
            <w:r w:rsidRPr="00132789">
              <w:t>konfiguracja</w:t>
            </w:r>
            <w:proofErr w:type="spellEnd"/>
            <w:r w:rsidRPr="00132789">
              <w:t xml:space="preserve"> </w:t>
            </w:r>
          </w:p>
        </w:tc>
        <w:tc>
          <w:tcPr>
            <w:tcW w:w="2614" w:type="dxa"/>
          </w:tcPr>
          <w:p w14:paraId="05DCB25F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r w:rsidRPr="00132789">
              <w:t xml:space="preserve">3 dni </w:t>
            </w:r>
          </w:p>
        </w:tc>
        <w:tc>
          <w:tcPr>
            <w:tcW w:w="3623" w:type="dxa"/>
          </w:tcPr>
          <w:p w14:paraId="7EB3AB11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r w:rsidRPr="00132789">
              <w:t xml:space="preserve">Testy po </w:t>
            </w:r>
            <w:proofErr w:type="spellStart"/>
            <w:r w:rsidRPr="00132789">
              <w:t>instalacji</w:t>
            </w:r>
            <w:proofErr w:type="spellEnd"/>
          </w:p>
        </w:tc>
      </w:tr>
      <w:tr w:rsidR="008658C5" w14:paraId="775F470A" w14:textId="77777777" w:rsidTr="002C3FDF">
        <w:tc>
          <w:tcPr>
            <w:tcW w:w="3539" w:type="dxa"/>
          </w:tcPr>
          <w:p w14:paraId="75018CBD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Uruchomienie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środowiska</w:t>
            </w:r>
            <w:proofErr w:type="spellEnd"/>
            <w:r w:rsidRPr="00132789">
              <w:t xml:space="preserve"> </w:t>
            </w:r>
          </w:p>
        </w:tc>
        <w:tc>
          <w:tcPr>
            <w:tcW w:w="2614" w:type="dxa"/>
          </w:tcPr>
          <w:p w14:paraId="57811383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r w:rsidRPr="00132789">
              <w:t xml:space="preserve">2 dni </w:t>
            </w:r>
          </w:p>
        </w:tc>
        <w:tc>
          <w:tcPr>
            <w:tcW w:w="3623" w:type="dxa"/>
          </w:tcPr>
          <w:p w14:paraId="0DD67550" w14:textId="77777777" w:rsidR="008658C5" w:rsidRDefault="008658C5" w:rsidP="002C3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hAnsi="CIDFont+F1" w:cs="CIDFont+F1"/>
                <w:color w:val="000000"/>
                <w:sz w:val="24"/>
                <w:szCs w:val="24"/>
                <w:lang w:val="pl-PL" w:eastAsia="pl-PL"/>
              </w:rPr>
            </w:pPr>
            <w:proofErr w:type="spellStart"/>
            <w:r w:rsidRPr="00132789">
              <w:t>Akceptacja</w:t>
            </w:r>
            <w:proofErr w:type="spellEnd"/>
            <w:r w:rsidRPr="00132789">
              <w:t xml:space="preserve"> </w:t>
            </w:r>
            <w:proofErr w:type="spellStart"/>
            <w:r w:rsidRPr="00132789">
              <w:t>klienta</w:t>
            </w:r>
            <w:proofErr w:type="spellEnd"/>
          </w:p>
        </w:tc>
      </w:tr>
    </w:tbl>
    <w:p w14:paraId="1D3547B1" w14:textId="77777777" w:rsidR="008658C5" w:rsidRPr="00F71CC4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200C0AEC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Grupy zadań szczegółowo opisują dedykowane skrypty. Dla fazy początkowej /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przygotowawczej generowany jest skrypt dla zadania inwentaryzacji. Kolejne skrypty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powstaną po zakończeniu fazy przygotowawczej i dotyczą procesu realizacji.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Stroną odpowiedzialną za udzielenie wszystkich informacji koniecznych do bezpiecznego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zakończenia projektu jest Instytut, jako posiadacz i użytkownik środowiska podlegającego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migracji.</w:t>
      </w:r>
    </w:p>
    <w:p w14:paraId="090BCD5D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24D22328" w14:textId="77777777" w:rsidR="008658C5" w:rsidRPr="00F71CC4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Instytut jest zobowiązany do przygotowania, wykonania a następnie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weryfikacji pod kątem użyteczności kopii zapasowych wszystkich przenoszonych systemów.</w:t>
      </w:r>
    </w:p>
    <w:p w14:paraId="2C9B7C1D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Wykonawca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w ramach wsparcia tego procesu przygotuje i udostępni środowisko sprzętowe na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którym będzie można testować wykonane kopie zapasowe systemów. Projekt nie obejmuje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zakresu dotyczącego przeniesienia i migracji oraz wdrożenia istniejącego łącza dostępowego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do sieci </w:t>
      </w:r>
      <w:proofErr w:type="spellStart"/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internet</w:t>
      </w:r>
      <w:proofErr w:type="spellEnd"/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oraz wszelkich konfiguracji z tym związanych, również w zakresie połączeń</w:t>
      </w:r>
      <w:r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</w:t>
      </w:r>
      <w:r w:rsidRPr="00F71CC4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WAN i dostępowych VPN.</w:t>
      </w:r>
    </w:p>
    <w:p w14:paraId="63F5426B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</w:p>
    <w:p w14:paraId="5301F390" w14:textId="77777777" w:rsidR="008658C5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Przygotowanie Instytutu</w:t>
      </w:r>
    </w:p>
    <w:p w14:paraId="0CE9BC59" w14:textId="77777777" w:rsidR="008658C5" w:rsidRPr="00AC27D3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Wszystkie wymagania wstępne muszą zostać spełnione przed kolejną fazą projektu.</w:t>
      </w:r>
    </w:p>
    <w:p w14:paraId="7DEB5E6C" w14:textId="77777777" w:rsidR="008658C5" w:rsidRPr="00AC27D3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Wymagania wstępne klienta:</w:t>
      </w:r>
    </w:p>
    <w:p w14:paraId="49924900" w14:textId="77777777" w:rsidR="008658C5" w:rsidRPr="00AC27D3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Zdalny dostęp do środowiska włączony dla konsultantów usług profesjonalnych Wykonawcy. Uzyskanie dostępu jest warunkiem wstępnym sukcesu tego projektu</w:t>
      </w:r>
    </w:p>
    <w:p w14:paraId="0C0750E8" w14:textId="77777777" w:rsidR="008658C5" w:rsidRPr="00AC27D3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Wykonanie przez dział informatyki Instytutu inwentaryzacji wszystkich działających systemów i oprogramowania użytkowego jak również określenie miejsc repozytorium plików danych. Sporządzenie listy migrowanych systemów i oprogramowania.</w:t>
      </w:r>
    </w:p>
    <w:p w14:paraId="0FB787D6" w14:textId="77777777" w:rsidR="008658C5" w:rsidRPr="00AC27D3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Wykonania kopii zapasowych wszystkich systemów oraz oprogramowania</w:t>
      </w:r>
    </w:p>
    <w:p w14:paraId="0EE2CF06" w14:textId="77777777" w:rsidR="008658C5" w:rsidRPr="00AC27D3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Weryfikacja użyteczności (odtworzeniowa) wykonanych kopii.</w:t>
      </w:r>
    </w:p>
    <w:p w14:paraId="2E2CC816" w14:textId="77777777" w:rsidR="008658C5" w:rsidRPr="00AC27D3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Przekazanie pełnych informacji o zakończeniu procesu przygotowania do wykonawcy</w:t>
      </w:r>
    </w:p>
    <w:p w14:paraId="0704C299" w14:textId="77777777" w:rsidR="008658C5" w:rsidRPr="00AC27D3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Zapewnienie warunków fizycznych i środowiskowych dla instalacji środowiska w nowej lokalizacji (zasilanie, chłodzenie, miejsce w szafach RACK)</w:t>
      </w:r>
    </w:p>
    <w:p w14:paraId="5CAA0973" w14:textId="77777777" w:rsidR="008658C5" w:rsidRPr="00AC27D3" w:rsidRDefault="008658C5" w:rsidP="008658C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Po wykonaniu testów (kopii), Instytut przekaże wykonawcy informacje o gotowości środowiska do relokacji. Wykonawca przedstawi szczegółowy plan, na podstawie którego zostanie wykonana oferowana usługa.</w:t>
      </w:r>
    </w:p>
    <w:p w14:paraId="6DEBAA58" w14:textId="77777777" w:rsidR="008658C5" w:rsidRPr="00AC27D3" w:rsidRDefault="008658C5" w:rsidP="008658C5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Przygotowanie wykonawcy</w:t>
      </w:r>
    </w:p>
    <w:p w14:paraId="04F2DB40" w14:textId="77777777" w:rsidR="008658C5" w:rsidRPr="00AC27D3" w:rsidRDefault="008658C5" w:rsidP="008658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Przygotowanie środowiska o parametrach umożliwiających realizację czynności przygotowawczych Instytutu. Środowisko obejmie skonfigurowane serwery i macierz, pozwalające na przetestowanie kopii zapasowych opartych o rozwiązanie </w:t>
      </w:r>
      <w:proofErr w:type="spellStart"/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Acronis</w:t>
      </w:r>
      <w:proofErr w:type="spellEnd"/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 xml:space="preserve"> Backup.</w:t>
      </w:r>
    </w:p>
    <w:p w14:paraId="73D1D23B" w14:textId="77777777" w:rsidR="008658C5" w:rsidRPr="00AC27D3" w:rsidRDefault="008658C5" w:rsidP="008658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Dostęp do środowiska testowego zostanie przekazany Administratorom systemów informatycznych w Instytucie Morskim w Gdyni. W związku z powyższym Instytut będzie miał możliwość sprawdzenia poprawności i konsystencji wykonywanych przez siebie kopii zapasowych oraz tymczasowe środowisko odtworzeniowe w przypadku potencjalnej awarii wynikającej z procesu przeniesienia urządzeń.</w:t>
      </w:r>
    </w:p>
    <w:p w14:paraId="537B132D" w14:textId="77777777" w:rsidR="008658C5" w:rsidRPr="00AC27D3" w:rsidRDefault="008658C5" w:rsidP="008658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Wykonanie inwentaryzacji fizycznej środowiska podlegającego migracji</w:t>
      </w:r>
    </w:p>
    <w:p w14:paraId="339B74FF" w14:textId="77777777" w:rsidR="008658C5" w:rsidRPr="00AC27D3" w:rsidRDefault="008658C5" w:rsidP="008658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lastRenderedPageBreak/>
        <w:t>Wspólnie z Instytutem sporządzenie listy migrowanych systemów i oprogramowania. Za kompletność danych wyłączną odpowiedzialność ponosi Instytut.</w:t>
      </w:r>
    </w:p>
    <w:p w14:paraId="6DE437B2" w14:textId="77777777" w:rsidR="008658C5" w:rsidRPr="00AC27D3" w:rsidRDefault="008658C5" w:rsidP="008658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color w:val="000000"/>
          <w:sz w:val="24"/>
          <w:szCs w:val="24"/>
          <w:lang w:val="pl-PL" w:eastAsia="pl-PL"/>
        </w:rPr>
      </w:pPr>
      <w:r w:rsidRPr="00AC27D3">
        <w:rPr>
          <w:rFonts w:ascii="CIDFont+F1" w:hAnsi="CIDFont+F1" w:cs="CIDFont+F1"/>
          <w:color w:val="000000"/>
          <w:sz w:val="24"/>
          <w:szCs w:val="24"/>
          <w:lang w:val="pl-PL" w:eastAsia="pl-PL"/>
        </w:rPr>
        <w:t>Ocena lokalizacji fizycznej dla przenoszonego środowiska (nowej lokalizacji)</w:t>
      </w:r>
    </w:p>
    <w:sectPr w:rsidR="008658C5" w:rsidRPr="00AC27D3" w:rsidSect="001E365E">
      <w:footerReference w:type="default" r:id="rId7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0880CC" w14:textId="77777777" w:rsidR="00C96BB4" w:rsidRDefault="00C96BB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0ACBC685" w14:textId="77777777" w:rsidR="00C96BB4" w:rsidRDefault="00C96BB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D962B" w14:textId="1EFFB6C5" w:rsidR="00046418" w:rsidRDefault="00401FCE" w:rsidP="00AC27D3">
    <w:pPr>
      <w:pStyle w:val="Stopka"/>
      <w:jc w:val="right"/>
      <w:rPr>
        <w:rFonts w:ascii="Times New Roman" w:hAnsi="Times New Roman" w:cs="Times New Roman"/>
      </w:rPr>
    </w:pPr>
    <w:r>
      <w:fldChar w:fldCharType="begin"/>
    </w:r>
    <w:r w:rsidR="00482A6A">
      <w:instrText xml:space="preserve"> PAGE   \* MERGEFORMAT </w:instrText>
    </w:r>
    <w:r>
      <w:fldChar w:fldCharType="separate"/>
    </w:r>
    <w:r w:rsidR="00F349DF">
      <w:rPr>
        <w:noProof/>
      </w:rPr>
      <w:t>5</w:t>
    </w:r>
    <w:r>
      <w:rPr>
        <w:noProof/>
      </w:rPr>
      <w:fldChar w:fldCharType="end"/>
    </w:r>
  </w:p>
  <w:p w14:paraId="79C6CABB" w14:textId="77777777" w:rsidR="00046418" w:rsidRDefault="00046418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D038AD" w14:textId="77777777" w:rsidR="00C96BB4" w:rsidRDefault="00C96BB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331BD01C" w14:textId="77777777" w:rsidR="00C96BB4" w:rsidRDefault="00C96BB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D3B83"/>
    <w:multiLevelType w:val="hybridMultilevel"/>
    <w:tmpl w:val="A3BE3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16147D"/>
    <w:multiLevelType w:val="multilevel"/>
    <w:tmpl w:val="7D4E8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206316"/>
    <w:multiLevelType w:val="hybridMultilevel"/>
    <w:tmpl w:val="105CE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C65EE"/>
    <w:multiLevelType w:val="multilevel"/>
    <w:tmpl w:val="4D3C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sDQ0MLU0NTI1MbEwMTJX0lEKTi0uzszPAykwrgUAQsH3piwAAAA="/>
  </w:docVars>
  <w:rsids>
    <w:rsidRoot w:val="00046418"/>
    <w:rsid w:val="00004C03"/>
    <w:rsid w:val="0001008F"/>
    <w:rsid w:val="00011FE3"/>
    <w:rsid w:val="000210CB"/>
    <w:rsid w:val="00046418"/>
    <w:rsid w:val="0006461A"/>
    <w:rsid w:val="00070503"/>
    <w:rsid w:val="0007079F"/>
    <w:rsid w:val="0007090B"/>
    <w:rsid w:val="00080366"/>
    <w:rsid w:val="0009106B"/>
    <w:rsid w:val="000A1900"/>
    <w:rsid w:val="000A367D"/>
    <w:rsid w:val="000B150C"/>
    <w:rsid w:val="000E1CE7"/>
    <w:rsid w:val="000E7E50"/>
    <w:rsid w:val="00100902"/>
    <w:rsid w:val="00100B67"/>
    <w:rsid w:val="00100C0A"/>
    <w:rsid w:val="0010515C"/>
    <w:rsid w:val="00126637"/>
    <w:rsid w:val="00127594"/>
    <w:rsid w:val="00146A37"/>
    <w:rsid w:val="00151DA4"/>
    <w:rsid w:val="001528DC"/>
    <w:rsid w:val="00166055"/>
    <w:rsid w:val="00176A98"/>
    <w:rsid w:val="001B0DA4"/>
    <w:rsid w:val="001B588C"/>
    <w:rsid w:val="001C1C83"/>
    <w:rsid w:val="001D7978"/>
    <w:rsid w:val="001E18AE"/>
    <w:rsid w:val="001E365E"/>
    <w:rsid w:val="00200FA0"/>
    <w:rsid w:val="00212F61"/>
    <w:rsid w:val="00215D06"/>
    <w:rsid w:val="002764F4"/>
    <w:rsid w:val="002A01E9"/>
    <w:rsid w:val="002A13B1"/>
    <w:rsid w:val="002A54C4"/>
    <w:rsid w:val="002D07C5"/>
    <w:rsid w:val="002D25EC"/>
    <w:rsid w:val="002D3036"/>
    <w:rsid w:val="002D6722"/>
    <w:rsid w:val="002F11DC"/>
    <w:rsid w:val="002F725C"/>
    <w:rsid w:val="00305F43"/>
    <w:rsid w:val="00311353"/>
    <w:rsid w:val="003114BD"/>
    <w:rsid w:val="00315B51"/>
    <w:rsid w:val="00331036"/>
    <w:rsid w:val="00340B9D"/>
    <w:rsid w:val="0035272C"/>
    <w:rsid w:val="00357251"/>
    <w:rsid w:val="00366BA9"/>
    <w:rsid w:val="00370436"/>
    <w:rsid w:val="00370D35"/>
    <w:rsid w:val="003732EE"/>
    <w:rsid w:val="00374AEE"/>
    <w:rsid w:val="003762EF"/>
    <w:rsid w:val="00376726"/>
    <w:rsid w:val="00383B49"/>
    <w:rsid w:val="00395CA0"/>
    <w:rsid w:val="003A0879"/>
    <w:rsid w:val="003B30EF"/>
    <w:rsid w:val="003C0F6F"/>
    <w:rsid w:val="003C3A0F"/>
    <w:rsid w:val="003D792A"/>
    <w:rsid w:val="003E7CD3"/>
    <w:rsid w:val="00401FCE"/>
    <w:rsid w:val="004126F7"/>
    <w:rsid w:val="00413689"/>
    <w:rsid w:val="00420C84"/>
    <w:rsid w:val="0042732B"/>
    <w:rsid w:val="00427923"/>
    <w:rsid w:val="004329A7"/>
    <w:rsid w:val="00435231"/>
    <w:rsid w:val="00461607"/>
    <w:rsid w:val="004629FD"/>
    <w:rsid w:val="00476F94"/>
    <w:rsid w:val="00480D21"/>
    <w:rsid w:val="00482A6A"/>
    <w:rsid w:val="00483B39"/>
    <w:rsid w:val="00494DCD"/>
    <w:rsid w:val="004A2B3E"/>
    <w:rsid w:val="004A4FDB"/>
    <w:rsid w:val="004B72C7"/>
    <w:rsid w:val="004C715C"/>
    <w:rsid w:val="00530F28"/>
    <w:rsid w:val="005337C0"/>
    <w:rsid w:val="00574237"/>
    <w:rsid w:val="00575249"/>
    <w:rsid w:val="005A5DAF"/>
    <w:rsid w:val="005B0FBD"/>
    <w:rsid w:val="005B4CA6"/>
    <w:rsid w:val="005B69F3"/>
    <w:rsid w:val="005C6A92"/>
    <w:rsid w:val="005E5173"/>
    <w:rsid w:val="005F11E9"/>
    <w:rsid w:val="005F2CBC"/>
    <w:rsid w:val="005F5F95"/>
    <w:rsid w:val="005F746F"/>
    <w:rsid w:val="006027CA"/>
    <w:rsid w:val="00614E94"/>
    <w:rsid w:val="006716B2"/>
    <w:rsid w:val="00671DF8"/>
    <w:rsid w:val="0068149E"/>
    <w:rsid w:val="006B03CC"/>
    <w:rsid w:val="006C7C20"/>
    <w:rsid w:val="006D260B"/>
    <w:rsid w:val="006E7ACE"/>
    <w:rsid w:val="006F5FAD"/>
    <w:rsid w:val="006F6495"/>
    <w:rsid w:val="0070260B"/>
    <w:rsid w:val="007558B6"/>
    <w:rsid w:val="00762ECA"/>
    <w:rsid w:val="007A54A3"/>
    <w:rsid w:val="007B309F"/>
    <w:rsid w:val="007B3462"/>
    <w:rsid w:val="007B358F"/>
    <w:rsid w:val="007B362F"/>
    <w:rsid w:val="007C19AE"/>
    <w:rsid w:val="007C6BE3"/>
    <w:rsid w:val="007C7206"/>
    <w:rsid w:val="007E27CB"/>
    <w:rsid w:val="007E6A62"/>
    <w:rsid w:val="00802DAE"/>
    <w:rsid w:val="008121F7"/>
    <w:rsid w:val="00833CE1"/>
    <w:rsid w:val="008500AF"/>
    <w:rsid w:val="00853CB8"/>
    <w:rsid w:val="00860E62"/>
    <w:rsid w:val="008658C5"/>
    <w:rsid w:val="0086780F"/>
    <w:rsid w:val="0088102C"/>
    <w:rsid w:val="00886153"/>
    <w:rsid w:val="00894416"/>
    <w:rsid w:val="008B2EB5"/>
    <w:rsid w:val="008B6DDE"/>
    <w:rsid w:val="008B6E6E"/>
    <w:rsid w:val="008C6742"/>
    <w:rsid w:val="008D659A"/>
    <w:rsid w:val="008E4840"/>
    <w:rsid w:val="008F54E7"/>
    <w:rsid w:val="00905821"/>
    <w:rsid w:val="00916AC7"/>
    <w:rsid w:val="00951B68"/>
    <w:rsid w:val="00955D78"/>
    <w:rsid w:val="00962299"/>
    <w:rsid w:val="0096231F"/>
    <w:rsid w:val="009759EA"/>
    <w:rsid w:val="0099116B"/>
    <w:rsid w:val="00994706"/>
    <w:rsid w:val="009947D2"/>
    <w:rsid w:val="009D2538"/>
    <w:rsid w:val="009E0F18"/>
    <w:rsid w:val="009E1E54"/>
    <w:rsid w:val="00A0581C"/>
    <w:rsid w:val="00A16DEE"/>
    <w:rsid w:val="00A203D6"/>
    <w:rsid w:val="00A37DE0"/>
    <w:rsid w:val="00A54A1D"/>
    <w:rsid w:val="00A7253F"/>
    <w:rsid w:val="00A73458"/>
    <w:rsid w:val="00A812EC"/>
    <w:rsid w:val="00A82AE2"/>
    <w:rsid w:val="00A85795"/>
    <w:rsid w:val="00A95EA3"/>
    <w:rsid w:val="00AA1158"/>
    <w:rsid w:val="00AB75DA"/>
    <w:rsid w:val="00AC27D3"/>
    <w:rsid w:val="00AD3A99"/>
    <w:rsid w:val="00AD7F9A"/>
    <w:rsid w:val="00AE3311"/>
    <w:rsid w:val="00AF209D"/>
    <w:rsid w:val="00AF7EAD"/>
    <w:rsid w:val="00B07D08"/>
    <w:rsid w:val="00B303C4"/>
    <w:rsid w:val="00B31A40"/>
    <w:rsid w:val="00B46613"/>
    <w:rsid w:val="00B47BD6"/>
    <w:rsid w:val="00B512AC"/>
    <w:rsid w:val="00B553D6"/>
    <w:rsid w:val="00B55F44"/>
    <w:rsid w:val="00B5786C"/>
    <w:rsid w:val="00B706E7"/>
    <w:rsid w:val="00B83672"/>
    <w:rsid w:val="00B92C32"/>
    <w:rsid w:val="00BA13D8"/>
    <w:rsid w:val="00BB23DA"/>
    <w:rsid w:val="00BB2DFB"/>
    <w:rsid w:val="00BB4EE5"/>
    <w:rsid w:val="00BB783A"/>
    <w:rsid w:val="00BC2BFF"/>
    <w:rsid w:val="00BD1063"/>
    <w:rsid w:val="00BD7564"/>
    <w:rsid w:val="00C01834"/>
    <w:rsid w:val="00C15E74"/>
    <w:rsid w:val="00C16345"/>
    <w:rsid w:val="00C354D9"/>
    <w:rsid w:val="00C42D7D"/>
    <w:rsid w:val="00C4411D"/>
    <w:rsid w:val="00C53C58"/>
    <w:rsid w:val="00C61FD9"/>
    <w:rsid w:val="00C7187E"/>
    <w:rsid w:val="00C86DDA"/>
    <w:rsid w:val="00C96BB4"/>
    <w:rsid w:val="00CA17F7"/>
    <w:rsid w:val="00CA2146"/>
    <w:rsid w:val="00CC1633"/>
    <w:rsid w:val="00CC29E5"/>
    <w:rsid w:val="00CE4937"/>
    <w:rsid w:val="00CF0962"/>
    <w:rsid w:val="00CF1BBF"/>
    <w:rsid w:val="00D03644"/>
    <w:rsid w:val="00D20237"/>
    <w:rsid w:val="00D25A25"/>
    <w:rsid w:val="00D31E5D"/>
    <w:rsid w:val="00D41002"/>
    <w:rsid w:val="00D5128C"/>
    <w:rsid w:val="00D94A54"/>
    <w:rsid w:val="00D95801"/>
    <w:rsid w:val="00DA0353"/>
    <w:rsid w:val="00DA54EB"/>
    <w:rsid w:val="00DB4D05"/>
    <w:rsid w:val="00DB4F02"/>
    <w:rsid w:val="00DC5BA9"/>
    <w:rsid w:val="00DD2CB7"/>
    <w:rsid w:val="00DE5E76"/>
    <w:rsid w:val="00DF367C"/>
    <w:rsid w:val="00E359EF"/>
    <w:rsid w:val="00E456AB"/>
    <w:rsid w:val="00E63D57"/>
    <w:rsid w:val="00E7611C"/>
    <w:rsid w:val="00E83DA6"/>
    <w:rsid w:val="00EA59F0"/>
    <w:rsid w:val="00EB015E"/>
    <w:rsid w:val="00EC49AC"/>
    <w:rsid w:val="00EE14A4"/>
    <w:rsid w:val="00EE1E3E"/>
    <w:rsid w:val="00EE401D"/>
    <w:rsid w:val="00F029A2"/>
    <w:rsid w:val="00F20D54"/>
    <w:rsid w:val="00F2115A"/>
    <w:rsid w:val="00F349DF"/>
    <w:rsid w:val="00F37EED"/>
    <w:rsid w:val="00F42DC1"/>
    <w:rsid w:val="00F71CC4"/>
    <w:rsid w:val="00F9271D"/>
    <w:rsid w:val="00F95FD8"/>
    <w:rsid w:val="00FA4520"/>
    <w:rsid w:val="00FA524B"/>
    <w:rsid w:val="00FD6F57"/>
    <w:rsid w:val="00FE09C8"/>
    <w:rsid w:val="00FE75A6"/>
    <w:rsid w:val="00FF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61F932"/>
  <w15:docId w15:val="{4C862AE1-A619-44AF-8011-FB8663A4B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1FCE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01FCE"/>
    <w:pPr>
      <w:keepNext/>
      <w:keepLines/>
      <w:spacing w:before="480" w:after="0"/>
      <w:outlineLvl w:val="0"/>
    </w:pPr>
    <w:rPr>
      <w:rFonts w:ascii="Calibri Light" w:hAnsi="Calibri Light" w:cs="Calibri Light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01FCE"/>
    <w:pPr>
      <w:keepNext/>
      <w:keepLines/>
      <w:spacing w:before="200" w:after="0"/>
      <w:outlineLvl w:val="1"/>
    </w:pPr>
    <w:rPr>
      <w:rFonts w:ascii="Calibri Light" w:hAnsi="Calibri Light" w:cs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401FCE"/>
    <w:rPr>
      <w:rFonts w:ascii="Calibri Light" w:hAnsi="Calibri Light" w:cs="Calibri Light"/>
      <w:b/>
      <w:bCs/>
      <w:color w:val="auto"/>
      <w:sz w:val="28"/>
      <w:szCs w:val="28"/>
    </w:rPr>
  </w:style>
  <w:style w:type="character" w:customStyle="1" w:styleId="Nagwek2Znak">
    <w:name w:val="Nagłówek 2 Znak"/>
    <w:link w:val="Nagwek2"/>
    <w:uiPriority w:val="99"/>
    <w:rsid w:val="00401FCE"/>
    <w:rPr>
      <w:rFonts w:ascii="Calibri Light" w:hAnsi="Calibri Light" w:cs="Calibri Light"/>
      <w:b/>
      <w:bCs/>
      <w:color w:val="auto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01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01FCE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rsid w:val="00401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01FCE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401FCE"/>
    <w:rPr>
      <w:rFonts w:ascii="Times New Roman" w:hAnsi="Times New Roman" w:cs="Times New Roman"/>
    </w:rPr>
  </w:style>
  <w:style w:type="character" w:styleId="Uwydatnienie">
    <w:name w:val="Emphasis"/>
    <w:uiPriority w:val="99"/>
    <w:qFormat/>
    <w:rsid w:val="00401FCE"/>
    <w:rPr>
      <w:rFonts w:ascii="Times New Roman" w:hAnsi="Times New Roman" w:cs="Times New Roman"/>
      <w:i/>
      <w:iCs/>
    </w:rPr>
  </w:style>
  <w:style w:type="paragraph" w:styleId="Tekstdymka">
    <w:name w:val="Balloon Text"/>
    <w:basedOn w:val="Normalny"/>
    <w:link w:val="TekstdymkaZnak"/>
    <w:uiPriority w:val="99"/>
    <w:rsid w:val="00401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401FC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01FCE"/>
    <w:pPr>
      <w:ind w:left="720"/>
    </w:pPr>
  </w:style>
  <w:style w:type="paragraph" w:styleId="Bezodstpw">
    <w:name w:val="No Spacing"/>
    <w:uiPriority w:val="99"/>
    <w:qFormat/>
    <w:rsid w:val="00401FCE"/>
    <w:rPr>
      <w:rFonts w:cs="Calibri"/>
      <w:sz w:val="22"/>
      <w:szCs w:val="22"/>
      <w:lang w:val="en-US" w:eastAsia="en-US"/>
    </w:rPr>
  </w:style>
  <w:style w:type="character" w:styleId="Hipercze">
    <w:name w:val="Hyperlink"/>
    <w:uiPriority w:val="99"/>
    <w:rsid w:val="00401FCE"/>
    <w:rPr>
      <w:rFonts w:ascii="Times New Roman" w:hAnsi="Times New Roman" w:cs="Times New Roman"/>
      <w:color w:val="0000FF"/>
      <w:u w:val="single"/>
    </w:rPr>
  </w:style>
  <w:style w:type="character" w:styleId="Pogrubienie">
    <w:name w:val="Strong"/>
    <w:uiPriority w:val="22"/>
    <w:qFormat/>
    <w:rsid w:val="00401FCE"/>
    <w:rPr>
      <w:rFonts w:ascii="Times New Roman" w:hAnsi="Times New Roman" w:cs="Times New Roman"/>
      <w:b/>
      <w:bCs/>
    </w:rPr>
  </w:style>
  <w:style w:type="paragraph" w:styleId="Tytu">
    <w:name w:val="Title"/>
    <w:basedOn w:val="Normalny"/>
    <w:next w:val="Normalny"/>
    <w:link w:val="TytuZnak"/>
    <w:uiPriority w:val="99"/>
    <w:qFormat/>
    <w:rsid w:val="00401FCE"/>
    <w:pPr>
      <w:pBdr>
        <w:bottom w:val="single" w:sz="8" w:space="4" w:color="auto"/>
      </w:pBdr>
      <w:spacing w:after="300" w:line="240" w:lineRule="auto"/>
    </w:pPr>
    <w:rPr>
      <w:rFonts w:ascii="Calibri Light" w:hAnsi="Calibri Light" w:cs="Calibri Light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99"/>
    <w:rsid w:val="00401FCE"/>
    <w:rPr>
      <w:rFonts w:ascii="Calibri Light" w:hAnsi="Calibri Light" w:cs="Calibri Light"/>
      <w:color w:val="auto"/>
      <w:spacing w:val="5"/>
      <w:kern w:val="28"/>
      <w:sz w:val="52"/>
      <w:szCs w:val="52"/>
    </w:rPr>
  </w:style>
  <w:style w:type="character" w:customStyle="1" w:styleId="tooltippable">
    <w:name w:val="tooltippable"/>
    <w:uiPriority w:val="99"/>
    <w:rsid w:val="00401FCE"/>
    <w:rPr>
      <w:rFonts w:ascii="Times New Roman" w:hAnsi="Times New Roman" w:cs="Times New Roman"/>
    </w:rPr>
  </w:style>
  <w:style w:type="paragraph" w:styleId="NormalnyWeb">
    <w:name w:val="Normal (Web)"/>
    <w:basedOn w:val="Normalny"/>
    <w:uiPriority w:val="99"/>
    <w:rsid w:val="00401FCE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pl-PL" w:eastAsia="pl-PL"/>
    </w:rPr>
  </w:style>
  <w:style w:type="character" w:customStyle="1" w:styleId="StylaciskiTimesNewRoman10pt">
    <w:name w:val="Styl (Łaciński) Times New Roman 10 pt"/>
    <w:rsid w:val="00401FCE"/>
    <w:rPr>
      <w:rFonts w:ascii="Times New Roman" w:hAnsi="Times New Roman" w:cs="Times New Roman"/>
      <w:spacing w:val="0"/>
      <w:w w:val="100"/>
      <w:position w:val="0"/>
      <w:sz w:val="20"/>
      <w:szCs w:val="20"/>
      <w:vertAlign w:val="baseline"/>
    </w:rPr>
  </w:style>
  <w:style w:type="table" w:styleId="Tabela-Siatka">
    <w:name w:val="Table Grid"/>
    <w:basedOn w:val="Standardowy"/>
    <w:uiPriority w:val="59"/>
    <w:rsid w:val="00F71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791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761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213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50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2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04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8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5952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6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59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47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770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193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33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74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283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1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52681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17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4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35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6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27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14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15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58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00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29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4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982</Words>
  <Characters>6857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 – Jednostka Centralna z dwoma monitorami – 1 szt</vt:lpstr>
    </vt:vector>
  </TitlesOfParts>
  <Company>AM/WE/KEO</Company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 – Jednostka Centralna z dwoma monitorami – 1 szt</dc:title>
  <dc:subject/>
  <dc:creator>C210</dc:creator>
  <cp:keywords/>
  <dc:description/>
  <cp:lastModifiedBy>Anita Brunowicz</cp:lastModifiedBy>
  <cp:revision>2</cp:revision>
  <cp:lastPrinted>2025-07-23T08:16:00Z</cp:lastPrinted>
  <dcterms:created xsi:type="dcterms:W3CDTF">2025-07-23T08:16:00Z</dcterms:created>
  <dcterms:modified xsi:type="dcterms:W3CDTF">2025-07-23T08:16:00Z</dcterms:modified>
</cp:coreProperties>
</file>