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553BC7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553BC7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553BC7" w:rsidRPr="00553BC7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553BC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553BC7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1F1A92" w:rsidRPr="00553BC7">
        <w:rPr>
          <w:rFonts w:eastAsia="Times New Roman" w:cs="Calibri"/>
          <w:b/>
          <w:sz w:val="20"/>
          <w:szCs w:val="20"/>
          <w:lang w:eastAsia="pl-PL"/>
        </w:rPr>
        <w:t>CRZP/3</w:t>
      </w:r>
      <w:r w:rsidR="00A07445">
        <w:rPr>
          <w:rFonts w:eastAsia="Times New Roman" w:cs="Calibri"/>
          <w:b/>
          <w:sz w:val="20"/>
          <w:szCs w:val="20"/>
          <w:lang w:eastAsia="pl-PL"/>
        </w:rPr>
        <w:t>9</w:t>
      </w:r>
      <w:r w:rsidR="001F1A92" w:rsidRPr="00553BC7">
        <w:rPr>
          <w:rFonts w:eastAsia="Times New Roman" w:cs="Calibri"/>
          <w:b/>
          <w:sz w:val="20"/>
          <w:szCs w:val="20"/>
          <w:lang w:eastAsia="pl-PL"/>
        </w:rPr>
        <w:t>/2025/AZP</w:t>
      </w:r>
    </w:p>
    <w:p w:rsidR="006A461B" w:rsidRPr="00553BC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553BC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553BC7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553BC7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553BC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553BC7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553BC7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1F1A92" w:rsidRPr="00553BC7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1F1A92" w:rsidRPr="00553BC7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553BC7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553BC7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553BC7">
        <w:rPr>
          <w:rFonts w:eastAsia="Times New Roman" w:cs="Calibri"/>
          <w:b/>
          <w:sz w:val="20"/>
          <w:szCs w:val="20"/>
          <w:lang w:eastAsia="pl-PL"/>
        </w:rPr>
        <w:t>„</w:t>
      </w:r>
      <w:r w:rsidR="001F1A92" w:rsidRPr="00553BC7">
        <w:rPr>
          <w:rFonts w:eastAsia="Times New Roman" w:cs="Calibri"/>
          <w:b/>
          <w:sz w:val="20"/>
          <w:szCs w:val="20"/>
          <w:lang w:eastAsia="pl-PL"/>
        </w:rPr>
        <w:t>Dostawa farb specjalistycznych do remontu dokowego statku Horyzont II</w:t>
      </w:r>
      <w:r w:rsidR="00A07445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bookmarkStart w:id="0" w:name="_GoBack"/>
      <w:bookmarkEnd w:id="0"/>
      <w:r w:rsidRPr="00553BC7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553BC7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553BC7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553BC7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553BC7">
        <w:rPr>
          <w:rFonts w:eastAsia="Times New Roman" w:cs="Calibri"/>
          <w:sz w:val="20"/>
          <w:szCs w:val="20"/>
          <w:lang w:eastAsia="pl-PL"/>
        </w:rPr>
        <w:t>e</w:t>
      </w:r>
      <w:r w:rsidR="005E443B" w:rsidRPr="00553BC7">
        <w:rPr>
          <w:rFonts w:eastAsia="Times New Roman" w:cs="Calibri"/>
          <w:sz w:val="20"/>
          <w:szCs w:val="20"/>
          <w:lang w:eastAsia="pl-PL"/>
        </w:rPr>
        <w:t>,</w:t>
      </w:r>
      <w:r w:rsidR="00C16AA2" w:rsidRPr="00553BC7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553BC7">
        <w:rPr>
          <w:rFonts w:eastAsia="Times New Roman" w:cs="Calibri"/>
          <w:sz w:val="20"/>
          <w:szCs w:val="20"/>
          <w:lang w:eastAsia="pl-PL"/>
        </w:rPr>
        <w:t>następujących dostaw  na potwierdzenie spełnienia warunku.</w:t>
      </w:r>
    </w:p>
    <w:p w:rsidR="006A461B" w:rsidRPr="00553BC7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553BC7" w:rsidRPr="00553BC7" w:rsidTr="00991432">
        <w:tc>
          <w:tcPr>
            <w:tcW w:w="53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553BC7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 </w:t>
            </w:r>
            <w:r w:rsidR="0060457E" w:rsidRPr="00553BC7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553BC7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553BC7" w:rsidRPr="00553BC7" w:rsidTr="00991432">
        <w:tc>
          <w:tcPr>
            <w:tcW w:w="53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553BC7" w:rsidRPr="00553BC7" w:rsidTr="00991432">
        <w:trPr>
          <w:trHeight w:val="617"/>
        </w:trPr>
        <w:tc>
          <w:tcPr>
            <w:tcW w:w="53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553BC7" w:rsidRPr="00553BC7" w:rsidTr="00991432">
        <w:tc>
          <w:tcPr>
            <w:tcW w:w="53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553BC7" w:rsidRPr="00553BC7" w:rsidTr="00991432">
        <w:tc>
          <w:tcPr>
            <w:tcW w:w="53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553BC7" w:rsidRPr="00553BC7" w:rsidTr="00991432">
        <w:tc>
          <w:tcPr>
            <w:tcW w:w="53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553BC7" w:rsidTr="00991432">
        <w:trPr>
          <w:trHeight w:val="405"/>
        </w:trPr>
        <w:tc>
          <w:tcPr>
            <w:tcW w:w="532" w:type="dxa"/>
          </w:tcPr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53BC7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553BC7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553BC7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553BC7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53BC7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53BC7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53BC7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53BC7">
        <w:rPr>
          <w:rFonts w:eastAsia="Times New Roman" w:cs="Calibri"/>
          <w:i/>
          <w:sz w:val="18"/>
          <w:szCs w:val="20"/>
          <w:lang w:eastAsia="pl-PL"/>
        </w:rPr>
        <w:tab/>
      </w:r>
      <w:r w:rsidRPr="00553BC7">
        <w:rPr>
          <w:rFonts w:eastAsia="Times New Roman" w:cs="Calibri"/>
          <w:i/>
          <w:sz w:val="18"/>
          <w:szCs w:val="20"/>
          <w:lang w:eastAsia="pl-PL"/>
        </w:rPr>
        <w:tab/>
      </w:r>
      <w:r w:rsidRPr="00553BC7">
        <w:rPr>
          <w:rFonts w:eastAsia="Times New Roman" w:cs="Calibri"/>
          <w:i/>
          <w:sz w:val="18"/>
          <w:szCs w:val="20"/>
          <w:lang w:eastAsia="pl-PL"/>
        </w:rPr>
        <w:tab/>
      </w:r>
      <w:r w:rsidRPr="00553BC7">
        <w:rPr>
          <w:rFonts w:eastAsia="Times New Roman" w:cs="Calibri"/>
          <w:i/>
          <w:sz w:val="18"/>
          <w:szCs w:val="20"/>
          <w:lang w:eastAsia="pl-PL"/>
        </w:rPr>
        <w:tab/>
      </w:r>
      <w:r w:rsidRPr="00553BC7">
        <w:rPr>
          <w:rFonts w:eastAsia="Times New Roman" w:cs="Calibri"/>
          <w:i/>
          <w:sz w:val="18"/>
          <w:szCs w:val="20"/>
          <w:lang w:eastAsia="pl-PL"/>
        </w:rPr>
        <w:tab/>
      </w:r>
      <w:r w:rsidRPr="00553BC7">
        <w:rPr>
          <w:rFonts w:eastAsia="Times New Roman" w:cs="Calibri"/>
          <w:i/>
          <w:sz w:val="18"/>
          <w:szCs w:val="20"/>
          <w:lang w:eastAsia="pl-PL"/>
        </w:rPr>
        <w:tab/>
      </w:r>
      <w:r w:rsidRPr="00553BC7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553BC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553BC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553BC7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553BC7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553BC7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553BC7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553BC7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553BC7">
        <w:rPr>
          <w:rFonts w:eastAsia="Times New Roman" w:cs="Calibri"/>
          <w:sz w:val="20"/>
          <w:szCs w:val="20"/>
          <w:lang w:eastAsia="pl-PL"/>
        </w:rPr>
        <w:tab/>
      </w:r>
      <w:r w:rsidRPr="00553BC7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553BC7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553BC7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553BC7" w:rsidRDefault="00BC677E"/>
    <w:sectPr w:rsidR="00BC677E" w:rsidRPr="00553BC7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35E3" w:rsidRDefault="007635E3">
      <w:pPr>
        <w:spacing w:after="0" w:line="240" w:lineRule="auto"/>
      </w:pPr>
      <w:r>
        <w:separator/>
      </w:r>
    </w:p>
  </w:endnote>
  <w:endnote w:type="continuationSeparator" w:id="0">
    <w:p w:rsidR="007635E3" w:rsidRDefault="00763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7635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635E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7635E3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35E3" w:rsidRDefault="007635E3">
      <w:pPr>
        <w:spacing w:after="0" w:line="240" w:lineRule="auto"/>
      </w:pPr>
      <w:r>
        <w:separator/>
      </w:r>
    </w:p>
  </w:footnote>
  <w:footnote w:type="continuationSeparator" w:id="0">
    <w:p w:rsidR="007635E3" w:rsidRDefault="00763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7635E3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1F1A92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farb specjalistycznych do remontu dokowego statku Horyzont II</w:t>
    </w:r>
    <w:r w:rsidR="00A07445">
      <w:rPr>
        <w:rFonts w:ascii="Tahoma" w:hAnsi="Tahoma" w:cs="Tahoma"/>
        <w:i/>
      </w:rPr>
      <w:t xml:space="preserve"> - powtórne</w:t>
    </w:r>
  </w:p>
  <w:p w:rsidR="004E7E0E" w:rsidRPr="004E7E0E" w:rsidRDefault="007635E3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1" o:connectortype="straight"/>
      </w:pict>
    </w:r>
  </w:p>
  <w:p w:rsidR="00302206" w:rsidRDefault="007635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3563"/>
    <w:rsid w:val="00084773"/>
    <w:rsid w:val="001079FB"/>
    <w:rsid w:val="001F1A92"/>
    <w:rsid w:val="002C16B6"/>
    <w:rsid w:val="00493563"/>
    <w:rsid w:val="00553BC7"/>
    <w:rsid w:val="00581849"/>
    <w:rsid w:val="005E443B"/>
    <w:rsid w:val="0060457E"/>
    <w:rsid w:val="006666A6"/>
    <w:rsid w:val="006A461B"/>
    <w:rsid w:val="007635E3"/>
    <w:rsid w:val="00787E3E"/>
    <w:rsid w:val="00A07445"/>
    <w:rsid w:val="00A2662E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36F81BE5"/>
  <w15:docId w15:val="{53943671-7F4F-4CE0-B35E-8D7E33617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55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53BC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3</cp:revision>
  <cp:lastPrinted>2025-03-12T12:05:00Z</cp:lastPrinted>
  <dcterms:created xsi:type="dcterms:W3CDTF">2025-02-24T10:01:00Z</dcterms:created>
  <dcterms:modified xsi:type="dcterms:W3CDTF">2025-03-12T12:05:00Z</dcterms:modified>
</cp:coreProperties>
</file>