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83418" w14:textId="6D70BEC9" w:rsidR="00525D19" w:rsidRPr="007246D9" w:rsidRDefault="00525D19" w:rsidP="007246D9">
      <w:pPr>
        <w:jc w:val="right"/>
        <w:rPr>
          <w:rFonts w:ascii="Times New Roman" w:hAnsi="Times New Roman" w:cs="Times New Roman"/>
        </w:rPr>
      </w:pPr>
      <w:r w:rsidRPr="00525D19">
        <w:rPr>
          <w:rFonts w:ascii="Times New Roman" w:hAnsi="Times New Roman" w:cs="Times New Roman"/>
        </w:rPr>
        <w:t>Załącznik nr 5 do SWZ</w:t>
      </w:r>
    </w:p>
    <w:p w14:paraId="005E9730" w14:textId="501F6BB0" w:rsidR="00525D19" w:rsidRDefault="00525D19" w:rsidP="00525D19">
      <w:pPr>
        <w:jc w:val="center"/>
        <w:rPr>
          <w:rFonts w:ascii="Times New Roman" w:hAnsi="Times New Roman" w:cs="Times New Roman"/>
          <w:b/>
          <w:bCs/>
        </w:rPr>
      </w:pPr>
      <w:r w:rsidRPr="00525D19">
        <w:rPr>
          <w:rFonts w:ascii="Times New Roman" w:hAnsi="Times New Roman" w:cs="Times New Roman"/>
          <w:b/>
          <w:bCs/>
        </w:rPr>
        <w:t>SZCZEGÓŁOWY OPIS PRZEDMIOTU ZAMÓWIENIA</w:t>
      </w:r>
    </w:p>
    <w:p w14:paraId="02A4E582" w14:textId="63FFFA8C" w:rsidR="00525D19" w:rsidRPr="0019656D" w:rsidRDefault="00525D19" w:rsidP="001D5118">
      <w:pPr>
        <w:tabs>
          <w:tab w:val="left" w:pos="782"/>
        </w:tabs>
        <w:spacing w:before="121"/>
        <w:ind w:right="303"/>
        <w:jc w:val="both"/>
        <w:rPr>
          <w:rFonts w:ascii="Times New Roman" w:hAnsi="Times New Roman" w:cs="Times New Roman"/>
          <w:b/>
          <w:i/>
          <w:sz w:val="24"/>
          <w:szCs w:val="24"/>
          <w:u w:val="single"/>
        </w:rPr>
      </w:pPr>
      <w:r w:rsidRPr="001D5118">
        <w:rPr>
          <w:rFonts w:ascii="Times New Roman" w:hAnsi="Times New Roman" w:cs="Times New Roman"/>
          <w:b/>
          <w:bCs/>
          <w:sz w:val="24"/>
          <w:szCs w:val="24"/>
          <w:u w:val="single"/>
        </w:rPr>
        <w:t xml:space="preserve">PAKIET nr 1 - </w:t>
      </w:r>
      <w:r w:rsidR="001D5118" w:rsidRPr="001D5118">
        <w:rPr>
          <w:rFonts w:ascii="Times New Roman" w:hAnsi="Times New Roman" w:cs="Times New Roman"/>
          <w:b/>
          <w:i/>
          <w:sz w:val="24"/>
          <w:szCs w:val="24"/>
          <w:u w:val="single"/>
        </w:rPr>
        <w:t>Dostawa systemu operacyjnego Microsoft Windows Server 2022 Data Center</w:t>
      </w:r>
      <w:r w:rsidR="003D4102">
        <w:rPr>
          <w:rFonts w:ascii="Times New Roman" w:hAnsi="Times New Roman" w:cs="Times New Roman"/>
          <w:b/>
          <w:i/>
          <w:sz w:val="24"/>
          <w:szCs w:val="24"/>
          <w:u w:val="single"/>
        </w:rPr>
        <w:t xml:space="preserve"> </w:t>
      </w:r>
      <w:r w:rsidR="003D4102" w:rsidRPr="003D4102">
        <w:rPr>
          <w:rFonts w:ascii="Times New Roman" w:hAnsi="Times New Roman" w:cs="Times New Roman"/>
          <w:b/>
          <w:i/>
          <w:sz w:val="24"/>
          <w:szCs w:val="24"/>
          <w:u w:val="single"/>
        </w:rPr>
        <w:t>lub rozwiązani</w:t>
      </w:r>
      <w:r w:rsidR="00B2008B">
        <w:rPr>
          <w:rFonts w:ascii="Times New Roman" w:hAnsi="Times New Roman" w:cs="Times New Roman"/>
          <w:b/>
          <w:i/>
          <w:sz w:val="24"/>
          <w:szCs w:val="24"/>
          <w:u w:val="single"/>
        </w:rPr>
        <w:t>a</w:t>
      </w:r>
      <w:r w:rsidR="003D4102" w:rsidRPr="003D4102">
        <w:rPr>
          <w:rFonts w:ascii="Times New Roman" w:hAnsi="Times New Roman" w:cs="Times New Roman"/>
          <w:b/>
          <w:i/>
          <w:sz w:val="24"/>
          <w:szCs w:val="24"/>
          <w:u w:val="single"/>
        </w:rPr>
        <w:t xml:space="preserve"> równoważne</w:t>
      </w:r>
      <w:r w:rsidR="00B2008B">
        <w:rPr>
          <w:rFonts w:ascii="Times New Roman" w:hAnsi="Times New Roman" w:cs="Times New Roman"/>
          <w:b/>
          <w:i/>
          <w:sz w:val="24"/>
          <w:szCs w:val="24"/>
          <w:u w:val="single"/>
        </w:rPr>
        <w:t>go</w:t>
      </w:r>
      <w:r w:rsidR="003D4102" w:rsidRPr="003D4102">
        <w:rPr>
          <w:rFonts w:ascii="Times New Roman" w:hAnsi="Times New Roman" w:cs="Times New Roman"/>
          <w:b/>
          <w:i/>
          <w:sz w:val="24"/>
          <w:szCs w:val="24"/>
          <w:u w:val="single"/>
        </w:rPr>
        <w:t xml:space="preserve"> opisane</w:t>
      </w:r>
      <w:r w:rsidR="00B2008B">
        <w:rPr>
          <w:rFonts w:ascii="Times New Roman" w:hAnsi="Times New Roman" w:cs="Times New Roman"/>
          <w:b/>
          <w:i/>
          <w:sz w:val="24"/>
          <w:szCs w:val="24"/>
          <w:u w:val="single"/>
        </w:rPr>
        <w:t>go</w:t>
      </w:r>
      <w:r w:rsidR="003D4102" w:rsidRPr="003D4102">
        <w:rPr>
          <w:rFonts w:ascii="Times New Roman" w:hAnsi="Times New Roman" w:cs="Times New Roman"/>
          <w:b/>
          <w:i/>
          <w:sz w:val="24"/>
          <w:szCs w:val="24"/>
          <w:u w:val="single"/>
        </w:rPr>
        <w:t xml:space="preserve"> w załączniku nr 5 do SWZ - Szczegółowy opis przedmiotu zamówienia</w:t>
      </w:r>
      <w:r w:rsidR="001D5118" w:rsidRPr="001D5118">
        <w:rPr>
          <w:rFonts w:ascii="Times New Roman" w:hAnsi="Times New Roman" w:cs="Times New Roman"/>
          <w:b/>
          <w:i/>
          <w:sz w:val="24"/>
          <w:szCs w:val="24"/>
          <w:u w:val="single"/>
        </w:rPr>
        <w:t>;</w:t>
      </w:r>
    </w:p>
    <w:p w14:paraId="357A2B58" w14:textId="77777777" w:rsidR="0019656D" w:rsidRPr="00505999" w:rsidRDefault="0019656D" w:rsidP="00505999">
      <w:pPr>
        <w:spacing w:after="0" w:line="288" w:lineRule="auto"/>
        <w:jc w:val="both"/>
        <w:rPr>
          <w:rFonts w:ascii="Times New Roman" w:hAnsi="Times New Roman" w:cs="Times New Roman"/>
          <w:i/>
          <w:iCs/>
          <w:sz w:val="24"/>
          <w:szCs w:val="24"/>
          <w:u w:val="single"/>
        </w:rPr>
      </w:pPr>
      <w:r w:rsidRPr="00505999">
        <w:rPr>
          <w:rFonts w:ascii="Times New Roman" w:hAnsi="Times New Roman" w:cs="Times New Roman"/>
          <w:i/>
          <w:iCs/>
          <w:sz w:val="24"/>
          <w:szCs w:val="24"/>
          <w:u w:val="single"/>
        </w:rPr>
        <w:t>Przedmiotem zamówienia jest dostawa 1 sztuki licencji na Microsoft Windows Server 2022 Data Center (16-core) lub 1 sztuki licencji rozszerzającej Microsoft Windows Server 2022 Data Center o dodatkowe 16 rdzeni.</w:t>
      </w:r>
    </w:p>
    <w:p w14:paraId="37FC6EEB" w14:textId="35EA6BAB" w:rsidR="00525D19" w:rsidRPr="00505999" w:rsidRDefault="0019656D" w:rsidP="00505999">
      <w:pPr>
        <w:spacing w:after="0" w:line="288" w:lineRule="auto"/>
        <w:jc w:val="both"/>
        <w:rPr>
          <w:rFonts w:ascii="Times New Roman" w:hAnsi="Times New Roman" w:cs="Times New Roman"/>
          <w:i/>
          <w:iCs/>
          <w:sz w:val="24"/>
          <w:szCs w:val="24"/>
          <w:u w:val="single"/>
        </w:rPr>
      </w:pPr>
      <w:r w:rsidRPr="00505999">
        <w:rPr>
          <w:rFonts w:ascii="Times New Roman" w:hAnsi="Times New Roman" w:cs="Times New Roman"/>
          <w:i/>
          <w:iCs/>
          <w:sz w:val="24"/>
          <w:szCs w:val="24"/>
          <w:u w:val="single"/>
        </w:rPr>
        <w:t xml:space="preserve">Ze względu na konieczność uzupełnienia licencji o dodatkowe 16 rdzeni w posiadanej konfiguracji Zamawiający oczekuje dostarczenia wskazanego rodzaju i typu licencji, </w:t>
      </w:r>
      <w:r w:rsidR="00505999">
        <w:rPr>
          <w:rFonts w:ascii="Times New Roman" w:hAnsi="Times New Roman" w:cs="Times New Roman"/>
          <w:i/>
          <w:iCs/>
          <w:sz w:val="24"/>
          <w:szCs w:val="24"/>
          <w:u w:val="single"/>
        </w:rPr>
        <w:br/>
      </w:r>
      <w:r w:rsidRPr="00505999">
        <w:rPr>
          <w:rFonts w:ascii="Times New Roman" w:hAnsi="Times New Roman" w:cs="Times New Roman"/>
          <w:i/>
          <w:iCs/>
          <w:sz w:val="24"/>
          <w:szCs w:val="24"/>
          <w:u w:val="single"/>
        </w:rPr>
        <w:t>a w przypadku rozwiązania równoważnego zapewnienia dostosowania całego środowiska systemów Zamawiającego na koszt Wykonawcy.</w:t>
      </w:r>
    </w:p>
    <w:p w14:paraId="0F4A64F9" w14:textId="77777777" w:rsidR="0019656D" w:rsidRPr="0019656D" w:rsidRDefault="0019656D" w:rsidP="0019656D">
      <w:pPr>
        <w:pStyle w:val="Nagwek2"/>
        <w:rPr>
          <w:rStyle w:val="Pogrubienie"/>
          <w:rFonts w:ascii="Times New Roman" w:hAnsi="Times New Roman" w:cs="Times New Roman"/>
          <w:sz w:val="24"/>
          <w:szCs w:val="24"/>
        </w:rPr>
      </w:pPr>
      <w:r w:rsidRPr="0019656D">
        <w:rPr>
          <w:rStyle w:val="Pogrubienie"/>
          <w:rFonts w:ascii="Times New Roman" w:hAnsi="Times New Roman" w:cs="Times New Roman"/>
          <w:sz w:val="24"/>
          <w:szCs w:val="24"/>
        </w:rPr>
        <w:t>Specyfikacja oprogramowania / wymagań rozwiązania równoważnego:</w:t>
      </w:r>
    </w:p>
    <w:p w14:paraId="341055E9"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Licencja musi uprawniać do uruchamiania serwerowego systemu operacyjnego w środowisku fizycznym i nieograniczonej liczbie wirtualnych środowisk serwerowego systemu operacyjnego za pomocą wbudowanych mechanizmów wirtualizacji oraz dostępu do serwerowego systemu operacyjnego dla minimum 110 urządzeń oraz 3 urządzeń w sposób zdalny</w:t>
      </w:r>
      <w:r>
        <w:rPr>
          <w:sz w:val="24"/>
          <w:szCs w:val="24"/>
        </w:rPr>
        <w:t xml:space="preserve"> lub stanowić rozszerzenie o dodatkowe 16 rdzeni dla podstawowej licencji;</w:t>
      </w:r>
    </w:p>
    <w:p w14:paraId="71BCA0FC"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 xml:space="preserve">Możliwość wykorzystywania 240 procesorów wirtualnych oraz </w:t>
      </w:r>
      <w:r>
        <w:rPr>
          <w:sz w:val="24"/>
          <w:szCs w:val="24"/>
        </w:rPr>
        <w:t>1</w:t>
      </w:r>
      <w:r w:rsidRPr="001C1842">
        <w:rPr>
          <w:sz w:val="24"/>
          <w:szCs w:val="24"/>
        </w:rPr>
        <w:t>TB pamięci RAM i dysku o pojemności min. 64TB przez każdy wirtualny serwerowy system operacyjny</w:t>
      </w:r>
      <w:r>
        <w:rPr>
          <w:sz w:val="24"/>
          <w:szCs w:val="24"/>
        </w:rPr>
        <w:t>;</w:t>
      </w:r>
    </w:p>
    <w:p w14:paraId="6C78DF7A"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migracji maszyn wirtualnych bez zatrzymywania ich pracy między fizycznymi serwerami z uruchomionym mechanizmem wirtualizacji (hypervisor) przez sieć Ethernet, bez konieczności stosowania dodatkowych mechanizmów współdzielenia pamięci</w:t>
      </w:r>
      <w:r>
        <w:rPr>
          <w:sz w:val="24"/>
          <w:szCs w:val="24"/>
        </w:rPr>
        <w:t>;</w:t>
      </w:r>
    </w:p>
    <w:p w14:paraId="742235F1"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Wsparcie (na umożliwiającym to sprzęcie) dodawania i wymiany pamięci RAM bez przerywania pracy</w:t>
      </w:r>
      <w:r>
        <w:rPr>
          <w:sz w:val="24"/>
          <w:szCs w:val="24"/>
        </w:rPr>
        <w:t>;</w:t>
      </w:r>
    </w:p>
    <w:p w14:paraId="5F7C4AAC"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Wsparcie (na umożliwiającym to sprzęcie) dodawania i wymiany procesorów bez przerywania pracy</w:t>
      </w:r>
      <w:r>
        <w:rPr>
          <w:sz w:val="24"/>
          <w:szCs w:val="24"/>
        </w:rPr>
        <w:t>;</w:t>
      </w:r>
    </w:p>
    <w:p w14:paraId="3E498685"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Automatyczna weryfikacja cyfrowych sygnatur sterowników w celu sprawdzenia czy sterownik przeszedł testy jakości przeprowadzone przez producenta systemu operacyjnego</w:t>
      </w:r>
      <w:r>
        <w:rPr>
          <w:sz w:val="24"/>
          <w:szCs w:val="24"/>
        </w:rPr>
        <w:t>;</w:t>
      </w:r>
    </w:p>
    <w:p w14:paraId="25BA7495"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dynamicznego obniżania poboru energii przez rdzenie procesorów niewykorzystywane w bieżącej pracy</w:t>
      </w:r>
      <w:r>
        <w:rPr>
          <w:sz w:val="24"/>
          <w:szCs w:val="24"/>
        </w:rPr>
        <w:t>;</w:t>
      </w:r>
    </w:p>
    <w:p w14:paraId="7D1750EA"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Mechanizm ten musi uwzględniać specyfikę procesorów wyposażonych w mechanizmy Hyper-Threading;</w:t>
      </w:r>
    </w:p>
    <w:p w14:paraId="02882A95"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Wbudowany mechanizm klasyfikowania i indeksowania plików (dokumentów) w oparciu o ich zawartość.</w:t>
      </w:r>
    </w:p>
    <w:p w14:paraId="3CD63620"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Wbudowane szyfrowanie dysków przy pomocy mechanizmów posiadających certyfikat FIPS 140-2 lub równoważny wydany przez NIST lub inną agendę rządową zajmującą się bezpieczeństwem informacji</w:t>
      </w:r>
      <w:r>
        <w:rPr>
          <w:sz w:val="24"/>
          <w:szCs w:val="24"/>
        </w:rPr>
        <w:t>;</w:t>
      </w:r>
    </w:p>
    <w:p w14:paraId="00E7329D"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lastRenderedPageBreak/>
        <w:t>Możliwość uruchamianie aplikacji internetowych wykorzystujących technologię ASP.NET</w:t>
      </w:r>
      <w:r>
        <w:rPr>
          <w:sz w:val="24"/>
          <w:szCs w:val="24"/>
        </w:rPr>
        <w:t>;</w:t>
      </w:r>
    </w:p>
    <w:p w14:paraId="408D5201"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dystrybucji ruchu sieciowego HTTP pomiędzy kilka serwerów</w:t>
      </w:r>
      <w:r>
        <w:rPr>
          <w:sz w:val="24"/>
          <w:szCs w:val="24"/>
        </w:rPr>
        <w:t>;</w:t>
      </w:r>
    </w:p>
    <w:p w14:paraId="088FC736"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 posiadać w</w:t>
      </w:r>
      <w:r w:rsidRPr="001C1842">
        <w:rPr>
          <w:sz w:val="24"/>
          <w:szCs w:val="24"/>
        </w:rPr>
        <w:t>budowan</w:t>
      </w:r>
      <w:r>
        <w:rPr>
          <w:sz w:val="24"/>
          <w:szCs w:val="24"/>
        </w:rPr>
        <w:t>ą</w:t>
      </w:r>
      <w:r w:rsidRPr="001C1842">
        <w:rPr>
          <w:sz w:val="24"/>
          <w:szCs w:val="24"/>
        </w:rPr>
        <w:t xml:space="preserve"> zapor</w:t>
      </w:r>
      <w:r>
        <w:rPr>
          <w:sz w:val="24"/>
          <w:szCs w:val="24"/>
        </w:rPr>
        <w:t>ę</w:t>
      </w:r>
      <w:r w:rsidRPr="001C1842">
        <w:rPr>
          <w:sz w:val="24"/>
          <w:szCs w:val="24"/>
        </w:rPr>
        <w:t xml:space="preserve"> internetow</w:t>
      </w:r>
      <w:r>
        <w:rPr>
          <w:sz w:val="24"/>
          <w:szCs w:val="24"/>
        </w:rPr>
        <w:t>ą</w:t>
      </w:r>
      <w:r w:rsidRPr="001C1842">
        <w:rPr>
          <w:sz w:val="24"/>
          <w:szCs w:val="24"/>
        </w:rPr>
        <w:t xml:space="preserve"> (firewall) z obsługą definiowanych reguł dla ochrony połączeń internetowych i intranetowych</w:t>
      </w:r>
      <w:r>
        <w:rPr>
          <w:sz w:val="24"/>
          <w:szCs w:val="24"/>
        </w:rPr>
        <w:t>;</w:t>
      </w:r>
    </w:p>
    <w:p w14:paraId="0EDA0F34"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posiadać wbudowane mechanizmy ochrony przeciw złośliwemu oprogramowaniu oraz antywirusa działającego w trybie rzeczywistym wraz z bezpłatnymi aktualizacjami</w:t>
      </w:r>
      <w:r>
        <w:rPr>
          <w:sz w:val="24"/>
          <w:szCs w:val="24"/>
        </w:rPr>
        <w:t>;</w:t>
      </w:r>
    </w:p>
    <w:p w14:paraId="5E85F449"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Zlokalizowane w języku polskim, co najmniej następujące elementy: menu, przeglądarka internetowa, pomoc, komunikaty systemowe</w:t>
      </w:r>
      <w:r>
        <w:rPr>
          <w:sz w:val="24"/>
          <w:szCs w:val="24"/>
        </w:rPr>
        <w:t>;</w:t>
      </w:r>
    </w:p>
    <w:p w14:paraId="53F98FC7"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zmiany języka interfejsu po zainstalowaniu systemu, dla co najmniej 2 języków poprzez wybór z listy dostępnych lokalizacji</w:t>
      </w:r>
      <w:r>
        <w:rPr>
          <w:sz w:val="24"/>
          <w:szCs w:val="24"/>
        </w:rPr>
        <w:t>;</w:t>
      </w:r>
    </w:p>
    <w:p w14:paraId="280D976B"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Wsparcie dla większości powszechnie używanych urządzeń peryferyjnych (drukarek, urządzeń sieciowych, standardów USB, Plug&amp;Play)</w:t>
      </w:r>
      <w:r>
        <w:rPr>
          <w:sz w:val="24"/>
          <w:szCs w:val="24"/>
        </w:rPr>
        <w:t>;</w:t>
      </w:r>
    </w:p>
    <w:p w14:paraId="2C769A58"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zdalnej konfiguracji, administrowania oraz aktualizowania systemu</w:t>
      </w:r>
      <w:r>
        <w:rPr>
          <w:sz w:val="24"/>
          <w:szCs w:val="24"/>
        </w:rPr>
        <w:t>;</w:t>
      </w:r>
    </w:p>
    <w:p w14:paraId="5D0BFDD4"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Wsparcie dostępu do zasobu dyskowego SSO poprzez wiele ścieżek (Multipath)</w:t>
      </w:r>
      <w:r>
        <w:rPr>
          <w:sz w:val="24"/>
          <w:szCs w:val="24"/>
        </w:rPr>
        <w:t>;</w:t>
      </w:r>
    </w:p>
    <w:p w14:paraId="3015A261"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instalacji poprawek poprzez wgranie ich do obrazu instalacyjnego</w:t>
      </w:r>
      <w:r>
        <w:rPr>
          <w:sz w:val="24"/>
          <w:szCs w:val="24"/>
        </w:rPr>
        <w:t>;</w:t>
      </w:r>
    </w:p>
    <w:p w14:paraId="49034073"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posiadać natywne wsparcie dla środowiska .NET Framework 4.x</w:t>
      </w:r>
      <w:r>
        <w:rPr>
          <w:sz w:val="24"/>
          <w:szCs w:val="24"/>
        </w:rPr>
        <w:t>;</w:t>
      </w:r>
    </w:p>
    <w:p w14:paraId="1CCC541F"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posiadać wbudowane mechanizmy szyfrowania dysków podłączonych do systemu z możliwością przechowywania certyfikatów w module TPM min wersji 1.2</w:t>
      </w:r>
    </w:p>
    <w:p w14:paraId="65C3E2A8"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posiadać identyfikację sieci do której podłączony jest system operacyjny i automatyczne stosowanie na tej podstawie reguł bezpieczeństwa</w:t>
      </w:r>
      <w:r>
        <w:rPr>
          <w:sz w:val="24"/>
          <w:szCs w:val="24"/>
        </w:rPr>
        <w:t>;</w:t>
      </w:r>
    </w:p>
    <w:p w14:paraId="26DB261E"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pozwalać na tworzenie i wykorzystywanie nielimitowanej liczby środowisk operacyjnych (OSEs)/kontenerów Hyper-V oraz kontenerów Windows Server bez izolacji Hyper-V</w:t>
      </w:r>
      <w:r>
        <w:rPr>
          <w:sz w:val="24"/>
          <w:szCs w:val="24"/>
        </w:rPr>
        <w:t>;</w:t>
      </w:r>
    </w:p>
    <w:p w14:paraId="405213A2"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Powinien</w:t>
      </w:r>
      <w:r w:rsidRPr="006E53A4">
        <w:rPr>
          <w:sz w:val="24"/>
          <w:szCs w:val="24"/>
        </w:rPr>
        <w:t xml:space="preserve"> wspierać usługę Host Guardian Service (HGS</w:t>
      </w:r>
      <w:r>
        <w:rPr>
          <w:sz w:val="24"/>
          <w:szCs w:val="24"/>
        </w:rPr>
        <w:t>);</w:t>
      </w:r>
    </w:p>
    <w:p w14:paraId="27C7F350" w14:textId="77777777" w:rsidR="0019656D" w:rsidRPr="001C1842"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Mechanizmy zdalnej administracji oraz mechanizmy (również działające zdalnie) administracji przez skrypty</w:t>
      </w:r>
      <w:r>
        <w:rPr>
          <w:sz w:val="24"/>
          <w:szCs w:val="24"/>
        </w:rPr>
        <w:t>;</w:t>
      </w:r>
    </w:p>
    <w:p w14:paraId="3CCE0626"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1C1842">
        <w:rPr>
          <w:sz w:val="24"/>
          <w:szCs w:val="24"/>
        </w:rPr>
        <w:t>Możliwość migracji konfiguracji systemu Microsoft Windows Serwer 20</w:t>
      </w:r>
      <w:r>
        <w:rPr>
          <w:sz w:val="24"/>
          <w:szCs w:val="24"/>
        </w:rPr>
        <w:t>12</w:t>
      </w:r>
      <w:r w:rsidRPr="001C1842">
        <w:rPr>
          <w:sz w:val="24"/>
          <w:szCs w:val="24"/>
        </w:rPr>
        <w:t>/2016 wraz z migracją kontrolera domeny Active Directory</w:t>
      </w:r>
      <w:r>
        <w:rPr>
          <w:sz w:val="24"/>
          <w:szCs w:val="24"/>
        </w:rPr>
        <w:t>;</w:t>
      </w:r>
    </w:p>
    <w:p w14:paraId="46CEC196"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posiadać możliwość zarządzania konfiguracją poprzez polityki grupowe Active Directory (zestaw reguł definiujących wymagany poziom bezpieczeństwa lub funkcjonalność systemu)</w:t>
      </w:r>
      <w:r>
        <w:rPr>
          <w:sz w:val="24"/>
          <w:szCs w:val="24"/>
        </w:rPr>
        <w:t>;</w:t>
      </w:r>
    </w:p>
    <w:p w14:paraId="04E572E9"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w:t>
      </w:r>
      <w:r w:rsidRPr="006E53A4">
        <w:rPr>
          <w:sz w:val="24"/>
          <w:szCs w:val="24"/>
        </w:rPr>
        <w:t>si posiadać technologię Storage Replica lub tożsamą, umożliwiająca replikację woluminów między serwerami lub klastrami w celu odzyskiwania danych po awarii.</w:t>
      </w:r>
    </w:p>
    <w:p w14:paraId="7175F8D5"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Musi</w:t>
      </w:r>
      <w:r w:rsidRPr="006E53A4">
        <w:rPr>
          <w:sz w:val="24"/>
          <w:szCs w:val="24"/>
        </w:rPr>
        <w:t xml:space="preserve"> wspierać zaszyfrowane maszyny wirtualne (VMs).</w:t>
      </w:r>
    </w:p>
    <w:p w14:paraId="55D7F951"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6E53A4">
        <w:rPr>
          <w:sz w:val="24"/>
          <w:szCs w:val="24"/>
        </w:rPr>
        <w:t>Licencja na system musi umożliwiać wykonywanie aktualizacji i otrzymywanie poprawek bezpieczeństwa systemu poprzez mechanizm zarządzany przez administratora systemu Zamawiającego</w:t>
      </w:r>
      <w:r>
        <w:rPr>
          <w:sz w:val="24"/>
          <w:szCs w:val="24"/>
        </w:rPr>
        <w:t>;</w:t>
      </w:r>
    </w:p>
    <w:p w14:paraId="59846EAB"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L</w:t>
      </w:r>
      <w:r w:rsidRPr="006E53A4">
        <w:rPr>
          <w:sz w:val="24"/>
          <w:szCs w:val="24"/>
        </w:rPr>
        <w:t>icencja musi być fabrycznie nowa</w:t>
      </w:r>
      <w:r>
        <w:rPr>
          <w:sz w:val="24"/>
          <w:szCs w:val="24"/>
        </w:rPr>
        <w:t>;</w:t>
      </w:r>
    </w:p>
    <w:p w14:paraId="48967295" w14:textId="77777777" w:rsidR="0019656D" w:rsidRDefault="0019656D" w:rsidP="0019656D">
      <w:pPr>
        <w:pStyle w:val="Akapitzlist"/>
        <w:widowControl/>
        <w:numPr>
          <w:ilvl w:val="0"/>
          <w:numId w:val="34"/>
        </w:numPr>
        <w:autoSpaceDE/>
        <w:autoSpaceDN/>
        <w:spacing w:before="0" w:line="288" w:lineRule="auto"/>
        <w:ind w:left="426" w:hanging="426"/>
        <w:contextualSpacing/>
        <w:rPr>
          <w:sz w:val="24"/>
          <w:szCs w:val="24"/>
        </w:rPr>
      </w:pPr>
      <w:r w:rsidRPr="006E53A4">
        <w:rPr>
          <w:sz w:val="24"/>
          <w:szCs w:val="24"/>
        </w:rPr>
        <w:t>Atrybuty legalności dostarczanego oprogramowania muszą być zgodne z zasadami określonymi przez producenta dostarczonego oprogramowania</w:t>
      </w:r>
      <w:r>
        <w:rPr>
          <w:sz w:val="24"/>
          <w:szCs w:val="24"/>
        </w:rPr>
        <w:t>;</w:t>
      </w:r>
    </w:p>
    <w:p w14:paraId="4EB69D83" w14:textId="77777777" w:rsidR="0019656D" w:rsidRPr="006E53A4" w:rsidRDefault="0019656D" w:rsidP="0019656D">
      <w:pPr>
        <w:pStyle w:val="Akapitzlist"/>
        <w:widowControl/>
        <w:numPr>
          <w:ilvl w:val="0"/>
          <w:numId w:val="34"/>
        </w:numPr>
        <w:autoSpaceDE/>
        <w:autoSpaceDN/>
        <w:spacing w:before="0" w:line="288" w:lineRule="auto"/>
        <w:ind w:left="426" w:hanging="426"/>
        <w:contextualSpacing/>
        <w:rPr>
          <w:sz w:val="24"/>
          <w:szCs w:val="24"/>
        </w:rPr>
      </w:pPr>
      <w:r>
        <w:rPr>
          <w:sz w:val="24"/>
          <w:szCs w:val="24"/>
        </w:rPr>
        <w:t>O</w:t>
      </w:r>
      <w:r w:rsidRPr="006E53A4">
        <w:rPr>
          <w:sz w:val="24"/>
          <w:szCs w:val="24"/>
        </w:rPr>
        <w:t>programowanie może zostać zweryfikowane pod kątem oryginalności</w:t>
      </w:r>
      <w:r>
        <w:rPr>
          <w:sz w:val="24"/>
          <w:szCs w:val="24"/>
        </w:rPr>
        <w:t>.</w:t>
      </w:r>
    </w:p>
    <w:p w14:paraId="2B2ABD3B" w14:textId="77777777" w:rsidR="0019656D" w:rsidRDefault="0019656D" w:rsidP="00525D19">
      <w:pPr>
        <w:tabs>
          <w:tab w:val="left" w:pos="782"/>
        </w:tabs>
        <w:spacing w:before="121"/>
        <w:ind w:right="303"/>
        <w:rPr>
          <w:rFonts w:ascii="Times New Roman" w:hAnsi="Times New Roman" w:cs="Times New Roman"/>
          <w:b/>
          <w:bCs/>
          <w:sz w:val="24"/>
          <w:szCs w:val="24"/>
          <w:u w:val="single"/>
        </w:rPr>
      </w:pPr>
    </w:p>
    <w:p w14:paraId="4A840048" w14:textId="77777777" w:rsidR="007246D9" w:rsidRPr="0019656D" w:rsidRDefault="007246D9" w:rsidP="00525D19">
      <w:pPr>
        <w:tabs>
          <w:tab w:val="left" w:pos="782"/>
        </w:tabs>
        <w:spacing w:before="121"/>
        <w:ind w:right="303"/>
        <w:rPr>
          <w:rFonts w:ascii="Times New Roman" w:hAnsi="Times New Roman" w:cs="Times New Roman"/>
          <w:b/>
          <w:bCs/>
          <w:sz w:val="24"/>
          <w:szCs w:val="24"/>
          <w:u w:val="single"/>
        </w:rPr>
      </w:pPr>
    </w:p>
    <w:p w14:paraId="3CAF6344" w14:textId="32173E0E" w:rsidR="00525D19" w:rsidRPr="0019656D" w:rsidRDefault="00525D19" w:rsidP="003D4102">
      <w:pPr>
        <w:tabs>
          <w:tab w:val="left" w:pos="782"/>
        </w:tabs>
        <w:spacing w:before="121"/>
        <w:ind w:right="303"/>
        <w:jc w:val="both"/>
        <w:rPr>
          <w:rFonts w:ascii="Times New Roman" w:hAnsi="Times New Roman" w:cs="Times New Roman"/>
          <w:b/>
          <w:i/>
          <w:sz w:val="24"/>
          <w:szCs w:val="24"/>
          <w:u w:val="single"/>
        </w:rPr>
      </w:pPr>
      <w:r w:rsidRPr="001D5118">
        <w:rPr>
          <w:rFonts w:ascii="Times New Roman" w:hAnsi="Times New Roman" w:cs="Times New Roman"/>
          <w:b/>
          <w:bCs/>
          <w:sz w:val="24"/>
          <w:szCs w:val="24"/>
          <w:u w:val="single"/>
        </w:rPr>
        <w:t xml:space="preserve">PAKIET nr 2 </w:t>
      </w:r>
      <w:r w:rsidR="0019656D" w:rsidRPr="001D5118">
        <w:rPr>
          <w:rFonts w:ascii="Times New Roman" w:hAnsi="Times New Roman" w:cs="Times New Roman"/>
          <w:b/>
          <w:bCs/>
          <w:sz w:val="24"/>
          <w:szCs w:val="24"/>
          <w:u w:val="single"/>
        </w:rPr>
        <w:t>–</w:t>
      </w:r>
      <w:r w:rsidR="001D5118" w:rsidRPr="001D5118">
        <w:rPr>
          <w:rFonts w:ascii="Times New Roman" w:hAnsi="Times New Roman" w:cs="Times New Roman"/>
          <w:b/>
          <w:bCs/>
          <w:sz w:val="24"/>
          <w:szCs w:val="24"/>
          <w:u w:val="single"/>
        </w:rPr>
        <w:t xml:space="preserve"> </w:t>
      </w:r>
      <w:r w:rsidR="001D5118" w:rsidRPr="001D5118">
        <w:rPr>
          <w:rFonts w:ascii="Times New Roman" w:hAnsi="Times New Roman" w:cs="Times New Roman"/>
          <w:b/>
          <w:i/>
          <w:sz w:val="24"/>
          <w:szCs w:val="24"/>
          <w:u w:val="single"/>
        </w:rPr>
        <w:t>Dostawa wirtualizacji VMWare vSphere Standard 8 z licencją na 5 lat</w:t>
      </w:r>
      <w:r w:rsidR="003D4102" w:rsidRPr="003D4102">
        <w:rPr>
          <w:rFonts w:ascii="Times New Roman" w:hAnsi="Times New Roman" w:cs="Times New Roman"/>
          <w:b/>
          <w:i/>
          <w:sz w:val="24"/>
          <w:szCs w:val="24"/>
          <w:u w:val="single"/>
        </w:rPr>
        <w:t>lub rozwiązani</w:t>
      </w:r>
      <w:r w:rsidR="00B2008B">
        <w:rPr>
          <w:rFonts w:ascii="Times New Roman" w:hAnsi="Times New Roman" w:cs="Times New Roman"/>
          <w:b/>
          <w:i/>
          <w:sz w:val="24"/>
          <w:szCs w:val="24"/>
          <w:u w:val="single"/>
        </w:rPr>
        <w:t>a</w:t>
      </w:r>
      <w:r w:rsidR="003D4102" w:rsidRPr="003D4102">
        <w:rPr>
          <w:rFonts w:ascii="Times New Roman" w:hAnsi="Times New Roman" w:cs="Times New Roman"/>
          <w:b/>
          <w:i/>
          <w:sz w:val="24"/>
          <w:szCs w:val="24"/>
          <w:u w:val="single"/>
        </w:rPr>
        <w:t xml:space="preserve"> równoważne</w:t>
      </w:r>
      <w:r w:rsidR="00B2008B">
        <w:rPr>
          <w:rFonts w:ascii="Times New Roman" w:hAnsi="Times New Roman" w:cs="Times New Roman"/>
          <w:b/>
          <w:i/>
          <w:sz w:val="24"/>
          <w:szCs w:val="24"/>
          <w:u w:val="single"/>
        </w:rPr>
        <w:t>go</w:t>
      </w:r>
      <w:r w:rsidR="003D4102" w:rsidRPr="003D4102">
        <w:rPr>
          <w:rFonts w:ascii="Times New Roman" w:hAnsi="Times New Roman" w:cs="Times New Roman"/>
          <w:b/>
          <w:i/>
          <w:sz w:val="24"/>
          <w:szCs w:val="24"/>
          <w:u w:val="single"/>
        </w:rPr>
        <w:t xml:space="preserve"> opisane</w:t>
      </w:r>
      <w:r w:rsidR="00B2008B">
        <w:rPr>
          <w:rFonts w:ascii="Times New Roman" w:hAnsi="Times New Roman" w:cs="Times New Roman"/>
          <w:b/>
          <w:i/>
          <w:sz w:val="24"/>
          <w:szCs w:val="24"/>
          <w:u w:val="single"/>
        </w:rPr>
        <w:t>go</w:t>
      </w:r>
      <w:r w:rsidR="003D4102" w:rsidRPr="003D4102">
        <w:rPr>
          <w:rFonts w:ascii="Times New Roman" w:hAnsi="Times New Roman" w:cs="Times New Roman"/>
          <w:b/>
          <w:i/>
          <w:sz w:val="24"/>
          <w:szCs w:val="24"/>
          <w:u w:val="single"/>
        </w:rPr>
        <w:t xml:space="preserve"> w załączniku nr 5 do SWZ - Szczegółowy opis przedmiotu zamówienia</w:t>
      </w:r>
      <w:r w:rsidR="001D5118" w:rsidRPr="001D5118">
        <w:rPr>
          <w:rFonts w:ascii="Times New Roman" w:hAnsi="Times New Roman" w:cs="Times New Roman"/>
          <w:b/>
          <w:i/>
          <w:sz w:val="24"/>
          <w:szCs w:val="24"/>
          <w:u w:val="single"/>
        </w:rPr>
        <w:t>;</w:t>
      </w:r>
    </w:p>
    <w:p w14:paraId="456DCA15" w14:textId="76D6C13A" w:rsidR="0019656D" w:rsidRPr="00505999" w:rsidRDefault="0019656D" w:rsidP="0019656D">
      <w:pPr>
        <w:jc w:val="both"/>
        <w:rPr>
          <w:rFonts w:ascii="Times New Roman" w:hAnsi="Times New Roman" w:cs="Times New Roman"/>
          <w:i/>
          <w:iCs/>
          <w:sz w:val="24"/>
          <w:szCs w:val="24"/>
          <w:u w:val="single"/>
        </w:rPr>
      </w:pPr>
      <w:r w:rsidRPr="00505999">
        <w:rPr>
          <w:rFonts w:ascii="Times New Roman" w:hAnsi="Times New Roman" w:cs="Times New Roman"/>
          <w:i/>
          <w:iCs/>
          <w:sz w:val="24"/>
          <w:szCs w:val="24"/>
          <w:u w:val="single"/>
        </w:rPr>
        <w:t xml:space="preserve">Przedmiotem zamówienia jest </w:t>
      </w:r>
      <w:r w:rsidRPr="00505999">
        <w:rPr>
          <w:rFonts w:ascii="Times New Roman" w:hAnsi="Times New Roman" w:cs="Times New Roman"/>
          <w:b/>
          <w:bCs/>
          <w:i/>
          <w:iCs/>
          <w:sz w:val="24"/>
          <w:szCs w:val="24"/>
          <w:u w:val="single"/>
        </w:rPr>
        <w:t>dostawa</w:t>
      </w:r>
      <w:r w:rsidRPr="00505999">
        <w:rPr>
          <w:rFonts w:ascii="Times New Roman" w:hAnsi="Times New Roman" w:cs="Times New Roman"/>
          <w:i/>
          <w:iCs/>
          <w:sz w:val="24"/>
          <w:szCs w:val="24"/>
          <w:u w:val="single"/>
        </w:rPr>
        <w:t xml:space="preserve"> </w:t>
      </w:r>
      <w:r w:rsidRPr="00505999">
        <w:rPr>
          <w:rFonts w:ascii="Times New Roman" w:hAnsi="Times New Roman" w:cs="Times New Roman"/>
          <w:b/>
          <w:bCs/>
          <w:i/>
          <w:iCs/>
          <w:sz w:val="24"/>
          <w:szCs w:val="24"/>
          <w:u w:val="single"/>
        </w:rPr>
        <w:t xml:space="preserve">licencji z 5 letnią subskrypcją VMware vSphere </w:t>
      </w:r>
      <w:r w:rsidR="001D5118">
        <w:rPr>
          <w:rFonts w:ascii="Times New Roman" w:hAnsi="Times New Roman" w:cs="Times New Roman"/>
          <w:b/>
          <w:bCs/>
          <w:i/>
          <w:iCs/>
          <w:sz w:val="24"/>
          <w:szCs w:val="24"/>
          <w:u w:val="single"/>
        </w:rPr>
        <w:br/>
      </w:r>
      <w:r w:rsidRPr="00505999">
        <w:rPr>
          <w:rFonts w:ascii="Times New Roman" w:hAnsi="Times New Roman" w:cs="Times New Roman"/>
          <w:b/>
          <w:bCs/>
          <w:i/>
          <w:iCs/>
          <w:sz w:val="24"/>
          <w:szCs w:val="24"/>
          <w:u w:val="single"/>
        </w:rPr>
        <w:t xml:space="preserve">w wersji Standard 8 </w:t>
      </w:r>
      <w:r w:rsidRPr="00505999">
        <w:rPr>
          <w:rFonts w:ascii="Times New Roman" w:hAnsi="Times New Roman" w:cs="Times New Roman"/>
          <w:i/>
          <w:iCs/>
          <w:sz w:val="24"/>
          <w:szCs w:val="24"/>
          <w:u w:val="single"/>
        </w:rPr>
        <w:t>dla 4 serwerów dwuprocesorowych (łącznie dla 128 rdzeni).</w:t>
      </w:r>
    </w:p>
    <w:p w14:paraId="1FEE5CAD" w14:textId="77777777" w:rsidR="0019656D" w:rsidRPr="00505999" w:rsidRDefault="0019656D" w:rsidP="0019656D">
      <w:pPr>
        <w:jc w:val="both"/>
        <w:rPr>
          <w:rFonts w:ascii="Times New Roman" w:hAnsi="Times New Roman" w:cs="Times New Roman"/>
          <w:i/>
          <w:iCs/>
          <w:sz w:val="24"/>
          <w:szCs w:val="24"/>
          <w:u w:val="single"/>
        </w:rPr>
      </w:pPr>
      <w:r w:rsidRPr="00505999">
        <w:rPr>
          <w:rFonts w:ascii="Times New Roman" w:hAnsi="Times New Roman" w:cs="Times New Roman"/>
          <w:i/>
          <w:iCs/>
          <w:sz w:val="24"/>
          <w:szCs w:val="24"/>
          <w:u w:val="single"/>
        </w:rPr>
        <w:t>Zamawiający w swojej obecnej konfiguracji stosuje oprogramowanie VMWare jednak dopuszcza rozwiązanie równoważne.</w:t>
      </w:r>
    </w:p>
    <w:p w14:paraId="3A52532D" w14:textId="77777777" w:rsidR="0019656D" w:rsidRPr="0019656D" w:rsidRDefault="0019656D" w:rsidP="0019656D">
      <w:pPr>
        <w:pStyle w:val="Nagwek2"/>
        <w:rPr>
          <w:rStyle w:val="Pogrubienie"/>
          <w:rFonts w:ascii="Times New Roman" w:hAnsi="Times New Roman" w:cs="Times New Roman"/>
          <w:sz w:val="24"/>
          <w:szCs w:val="24"/>
        </w:rPr>
      </w:pPr>
      <w:r w:rsidRPr="0019656D">
        <w:rPr>
          <w:rStyle w:val="Pogrubienie"/>
          <w:rFonts w:ascii="Times New Roman" w:hAnsi="Times New Roman" w:cs="Times New Roman"/>
          <w:sz w:val="24"/>
          <w:szCs w:val="24"/>
        </w:rPr>
        <w:t>Zasada równoważności:</w:t>
      </w:r>
    </w:p>
    <w:p w14:paraId="034DBF91"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Za równoważne do wyspecyfikowanego rozwiązania Zamawiający uzna rozwiązanie o tym samym przeznaczeniu, cechach technicznych, jakościowych i funkcjonalnych odpowiadających cechom technicznym, jakościowym i funkcjonalnym wskazanych w opisie przedmiotu zamówienia, lub lepszych, oznaczonych innym znakiem towarowym, patentem lub pochodzeniem.</w:t>
      </w:r>
    </w:p>
    <w:p w14:paraId="58BAC576"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Rozwiązanie równoważne musi pozwalać na zrealizowanie zakładanego przez Zamawiającego celu poprzez parametry wydajnościowe i funkcjonalne, mające wpływ na skuteczność działania, takie same lub lepsze od wskazanych wymagań minimalnych.</w:t>
      </w:r>
    </w:p>
    <w:p w14:paraId="10362B05"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Użycie w opisie przedmiotu zamówienia nazw rozwiązań, materiałów i urządzeń służy ustaleniu minimalnego standardu wykonania i określenia właściwości i wymogów technicznych założonych w dokumentacji technicznej dla projektowanych rozwiązań.</w:t>
      </w:r>
    </w:p>
    <w:p w14:paraId="091D1F8F"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Wykonawca zobligowany jest do wykazania, że oferowane rozwiązania równoważne spełnią zakładane wymagania minimalne. Wykonawca, który złoży ofertę na produkty równoważne musi do oferty załączyć dokumenty zawierające dokładny opis oferowanych produktów, z którego wynikać będzie zachowanie warunków równoważności. Wykonawca, który posługuje się równoważnymi certyfikatami musi je załączyć do oferty. Przez certyfikat równoważny Zamawiający rozumie certyfikat analogiczny co do zakresu z certyfikatami wskazanymi z nazwy, który potwierdza spełnianie normy charakteryzującej się cechami właściwymi dla normy wymienionej przez Zamawiającego, wystawiony przez niezależny podmiot uprawniony do wystawiania certyfikatów.</w:t>
      </w:r>
    </w:p>
    <w:p w14:paraId="3D506207"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Brak określenia „minimum” oznacza wymaganie na poziomie minimalnym, a Wykonawca może zaoferować rozwiązanie o lepszych parametrach.</w:t>
      </w:r>
    </w:p>
    <w:p w14:paraId="4FCD7F68"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W celu zachowania zasad neutralności technologicznej i konkurencyjności dopuszcza się rozwiązania równoważne do wyspecyfikowanych, przy czym za rozwiązanie równoważne uważa się takie rozwiązanie, które pod względem technologii, wydajności i funkcjonalności nie odbiega lub jest lepsze od technologii funkcjonalności i wydajności wyszczególnionych w rozwiązaniu wyspecyfikowanym.</w:t>
      </w:r>
    </w:p>
    <w:p w14:paraId="199DA2F5"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 xml:space="preserve">Nie podlegają porównaniu cechy rozwiązania właściwe wyłącznie dla rozwiązania wyspecyfikowanego, takie jak: zastrzeżone patenty, własnościowe rozwiązania technologiczne, własnościowe protokoły itp., a jedynie te, które stanowią o istocie całości </w:t>
      </w:r>
      <w:r w:rsidRPr="0019656D">
        <w:rPr>
          <w:sz w:val="24"/>
          <w:szCs w:val="24"/>
        </w:rPr>
        <w:lastRenderedPageBreak/>
        <w:t>zakładanych rozwiązań technologicznych i posiadają odniesienie w rozwiązaniu równoważnym. W związku z tym, Wykonawca może zaproponować rozwiązania, które realizują takie same funkcjonalności wyspecyfikowane przez Zamawiającego w inny, niż podany sposób.</w:t>
      </w:r>
    </w:p>
    <w:p w14:paraId="4F81533D" w14:textId="77777777" w:rsidR="0019656D" w:rsidRP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Przez bardzo zbliżoną (podobną) wartość użytkową rozumie się podobne, z dopuszczeniem nieznacznych różnic nie wpływających w żadnym stopniu na całokształt systemu, zachowanie oraz realizowanie podobnych funkcjonalności w danych warunkach, dla których to warunków rozwiązania te są dedykowane. Rozwiązanie równoważne musi zawierać dokumentację potwierdzającą, że spełnia wymagania funkcjonalne Zamawiającego, w tym wyniki porównań, testów czy możliwości oferowanych przez to rozwiązanie w odniesieniu do rozwiązania wyspecyfikowanego.</w:t>
      </w:r>
    </w:p>
    <w:p w14:paraId="7FDCF828" w14:textId="77777777" w:rsidR="0019656D" w:rsidRDefault="0019656D" w:rsidP="0019656D">
      <w:pPr>
        <w:pStyle w:val="Akapitzlist"/>
        <w:widowControl/>
        <w:numPr>
          <w:ilvl w:val="0"/>
          <w:numId w:val="36"/>
        </w:numPr>
        <w:autoSpaceDE/>
        <w:autoSpaceDN/>
        <w:spacing w:before="0" w:line="288" w:lineRule="auto"/>
        <w:ind w:left="284" w:hanging="284"/>
        <w:contextualSpacing/>
        <w:rPr>
          <w:sz w:val="24"/>
          <w:szCs w:val="24"/>
        </w:rPr>
      </w:pPr>
      <w:r w:rsidRPr="0019656D">
        <w:rPr>
          <w:sz w:val="24"/>
          <w:szCs w:val="24"/>
        </w:rPr>
        <w:t>W przypadku wskazania przez Zamawiającego określonych testów wydajności Zamawiający zastrzega, iż w celu sprawdzenia poprawności przeprowadzonych testów może wezwać Wykonawcę do przedstawienia wskazanego przez Zamawiającego oprogramowania testującego wraz z testowanym urządzeniem. Wszystkie testy wydajnościowe wykonawca musi przeprowadzić na komputerze o oferowanej konfiguracji, przy automatycznych ustawieniach konfiguratora oprogramowania testującego i natywnej rozdzielczości wyświetlacza oraz włączonych wszystkich urządzaniach. Nie dopuszcza się stosowania overclokingu, oprogramowania wspomagającego pochodzącego z innego źródła niż fabrycznie zainstalowane oprogramowanie przez producenta, ingerowania w ustawieniach BIOS (tzn. wyłączanie urządzeń stanowiących pełną konfigurację), jak również w samym środowisku systemu (tzn. zmniejszanie rozdzielczości, jasności i kontrastu itp.). Zamawiający dopuszcza prowadzenie testów wydajnościowych w oparciu o dowolny system operacyjny zainstalowany na urządzeniu.</w:t>
      </w:r>
    </w:p>
    <w:p w14:paraId="401195E9" w14:textId="77777777" w:rsidR="0019656D" w:rsidRDefault="0019656D" w:rsidP="0019656D">
      <w:pPr>
        <w:pStyle w:val="Akapitzlist"/>
        <w:widowControl/>
        <w:numPr>
          <w:ilvl w:val="0"/>
          <w:numId w:val="36"/>
        </w:numPr>
        <w:autoSpaceDE/>
        <w:autoSpaceDN/>
        <w:spacing w:before="0" w:line="288" w:lineRule="auto"/>
        <w:ind w:left="426" w:hanging="426"/>
        <w:contextualSpacing/>
        <w:rPr>
          <w:sz w:val="24"/>
          <w:szCs w:val="24"/>
        </w:rPr>
      </w:pPr>
      <w:r w:rsidRPr="0019656D">
        <w:rPr>
          <w:sz w:val="24"/>
          <w:szCs w:val="24"/>
        </w:rPr>
        <w:t>W przypadku wskazania przez Zamawiającego określonych testów wydajności Zamawiający dopuszcza równoważne im testy wydajnościowe umożliwiające potwierdzenie zakładanych poziomów wydajności. W przypadku użycia przez Wykonawcę równoważnych testów wydajności Zamawiający zastrzega, iż w celu sprawdzenia równoważności przeprowadzonych testów Wykonawca może zostać wezwany do dostarczenia Zamawiającemu wskazanego przez Zamawiającego oprogramowania testującego i równoważnego do niego oprogramowania testującego wraz z testowanym urządzeniem. Wszystkie testy wydajnościowe wykonawca musi przeprowadzić na komputerze o oferowanej konfiguracji, przy automatycznych ustawieniach konfiguratora oprogramowania testującego i natywnej rozdzielczości wyświetlacza oraz włączonych wszystkich urządzaniach. Nie dopuszcza się stosowania overclokingu, oprogramowania wspomagającego pochodzącego z innego źródła niż fabrycznie zainstalowane oprogramowanie przez producenta, ingerowania w ustawieniach BIOS (tzn. wyłączanie urządzeń stanowiących pełną konfigurację), jak również w samym środowisku systemu (tzn. zmniejszanie rozdzielczości, jasności i kontrastu itp.). Zamawiający dopuszcza prowadzenie testów wydajnościowych w oparciu o dowolny system operacyjny zainstalowany na urządzeniu.</w:t>
      </w:r>
    </w:p>
    <w:p w14:paraId="3B53D9CD" w14:textId="77777777" w:rsidR="0019656D" w:rsidRDefault="0019656D" w:rsidP="0019656D">
      <w:pPr>
        <w:pStyle w:val="Akapitzlist"/>
        <w:widowControl/>
        <w:numPr>
          <w:ilvl w:val="0"/>
          <w:numId w:val="36"/>
        </w:numPr>
        <w:autoSpaceDE/>
        <w:autoSpaceDN/>
        <w:spacing w:before="0" w:line="288" w:lineRule="auto"/>
        <w:ind w:left="426" w:hanging="426"/>
        <w:contextualSpacing/>
        <w:rPr>
          <w:sz w:val="24"/>
          <w:szCs w:val="24"/>
        </w:rPr>
      </w:pPr>
      <w:r w:rsidRPr="0019656D">
        <w:rPr>
          <w:sz w:val="24"/>
          <w:szCs w:val="24"/>
        </w:rPr>
        <w:lastRenderedPageBreak/>
        <w:t>Dodatkowo, wszędzie tam, gdzie zostało wskazane pochodzenie (marka, znak towarowy, producent, dostawca itp.) materiałów lub normy, aprobaty, specyfikacje i systemy, o których mowa w ustawie Prawo Zamówień Publicznych (zwana dalej ustawą), Zamawiający dopuszcza oferowanie sprzętu lub rozwiązań równoważnych pod warunkiem, że zapewnią uzyskanie parametrów technicznych takich samych lub lepszych niż wymagane przez Zamawiającego w dokumentacji przetargowej.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 / 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 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639E2B71" w14:textId="1963D650" w:rsidR="0019656D" w:rsidRPr="0019656D" w:rsidRDefault="0019656D" w:rsidP="0019656D">
      <w:pPr>
        <w:pStyle w:val="Akapitzlist"/>
        <w:widowControl/>
        <w:numPr>
          <w:ilvl w:val="0"/>
          <w:numId w:val="36"/>
        </w:numPr>
        <w:autoSpaceDE/>
        <w:autoSpaceDN/>
        <w:spacing w:before="0" w:line="288" w:lineRule="auto"/>
        <w:ind w:left="426" w:hanging="426"/>
        <w:contextualSpacing/>
        <w:rPr>
          <w:sz w:val="24"/>
          <w:szCs w:val="24"/>
        </w:rPr>
      </w:pPr>
      <w:r w:rsidRPr="0019656D">
        <w:rPr>
          <w:sz w:val="24"/>
          <w:szCs w:val="24"/>
        </w:rPr>
        <w:t>Rozwiązanie równoważnie dopuszczane jest pod warunkiem, że nie spowoduje poniesienia dodatkowych kosztów po stronie Zamawiającego i będzie kompatybilne z rozwiązaniem posiadanym przez Zamawiającego.</w:t>
      </w:r>
    </w:p>
    <w:p w14:paraId="45F586C3" w14:textId="77777777" w:rsidR="0019656D" w:rsidRPr="0019656D" w:rsidRDefault="0019656D" w:rsidP="0019656D">
      <w:pPr>
        <w:pStyle w:val="Nagwek2"/>
        <w:rPr>
          <w:rStyle w:val="Pogrubienie"/>
          <w:rFonts w:ascii="Times New Roman" w:hAnsi="Times New Roman" w:cs="Times New Roman"/>
          <w:sz w:val="24"/>
          <w:szCs w:val="24"/>
        </w:rPr>
      </w:pPr>
      <w:r w:rsidRPr="0019656D">
        <w:rPr>
          <w:rStyle w:val="Pogrubienie"/>
          <w:rFonts w:ascii="Times New Roman" w:hAnsi="Times New Roman" w:cs="Times New Roman"/>
          <w:sz w:val="24"/>
          <w:szCs w:val="24"/>
        </w:rPr>
        <w:t>Minimalne kryteria równoważności:</w:t>
      </w:r>
    </w:p>
    <w:p w14:paraId="773FB237" w14:textId="77777777" w:rsidR="0019656D" w:rsidRPr="0019656D" w:rsidRDefault="0019656D" w:rsidP="0019656D">
      <w:pPr>
        <w:spacing w:line="240" w:lineRule="auto"/>
        <w:ind w:left="360" w:hanging="360"/>
        <w:jc w:val="both"/>
        <w:rPr>
          <w:rFonts w:ascii="Times New Roman" w:hAnsi="Times New Roman" w:cs="Times New Roman"/>
          <w:sz w:val="24"/>
          <w:szCs w:val="24"/>
        </w:rPr>
      </w:pPr>
      <w:r w:rsidRPr="0019656D">
        <w:rPr>
          <w:rFonts w:ascii="Times New Roman" w:hAnsi="Times New Roman" w:cs="Times New Roman"/>
          <w:sz w:val="24"/>
          <w:szCs w:val="24"/>
        </w:rPr>
        <w:t>Należy przyjąć następujące kryteria równoważności funkcjonalność oprogramowania:</w:t>
      </w:r>
    </w:p>
    <w:p w14:paraId="61A4DDD7"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być rozwiązaniem systemowym tzn. instalowanym bezpośrednio na sprzęcie fizycznym;</w:t>
      </w:r>
    </w:p>
    <w:p w14:paraId="0CDF76AC"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Warstwa wirtualizacji nie może dla własnych celów alokować więcej niż 200MB pamięci operacyjnej RAM serwera fizycznego;</w:t>
      </w:r>
    </w:p>
    <w:p w14:paraId="73D857BC"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programowanie do wirtualizacji zainstalowane na serwerze fizycznym musi potrafić obsłużyć i wykorzystać procesory fizyczne wyposażone w 80 logicznych wątków oraz do 4TB pamięci fizycznej RAM;</w:t>
      </w:r>
    </w:p>
    <w:p w14:paraId="4DAAAA6D"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zapewnić możliwość skonfigurowania maszyn wirtualnych 1-8 procesorowych;</w:t>
      </w:r>
    </w:p>
    <w:p w14:paraId="2758FD6D"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zapewnić możliwość skonfigurowania maszyn wirtualnych z możliwością przydzielenia do 2 TB pamięci operacyjnej RAM;</w:t>
      </w:r>
    </w:p>
    <w:p w14:paraId="1BFF12A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zapewnić możliwość skonfigurowania maszyn wirtualnych, z których każda może mieć 1-10 wirtualnych kart sieciowych;</w:t>
      </w:r>
    </w:p>
    <w:p w14:paraId="237BFC52"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lastRenderedPageBreak/>
        <w:t>Oprogramowanie do wirtualizacji musi zapewnić możliwość skonfigurowania maszyn wirtualnych, z których każda może mieć 32 porty szeregowe, 3 porty równoległe i 20 urządzeń USB;</w:t>
      </w:r>
    </w:p>
    <w:p w14:paraId="668B933A"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obsługę wielu instancji systemów operacyjnych na jednym serwerze fizycznym;</w:t>
      </w:r>
    </w:p>
    <w:p w14:paraId="139C162D"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wirtualizację serwerów zarówno w architekturze 32 i 64 bit;</w:t>
      </w:r>
    </w:p>
    <w:p w14:paraId="660B8AB8"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lang w:val="en-US"/>
        </w:rPr>
      </w:pPr>
      <w:r w:rsidRPr="0019656D">
        <w:rPr>
          <w:sz w:val="24"/>
          <w:szCs w:val="24"/>
          <w:lang w:val="en-US"/>
        </w:rPr>
        <w:t>Rozwiązanie musi wspierać następujące systemy operacyjne: Windows Server 2003, Windows Server 2008, Windows Server 2012, Windows Server 2016, Windows Server 2019, Windows Server 2022, Windows 10, Windows 11, Debian, CentOS, FreeBSD, Ubuntu, Mac OS X, Photon OS, Oracle Linux, CoreOS;</w:t>
      </w:r>
    </w:p>
    <w:p w14:paraId="63D5B4E5"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maszynom wirtualnym pracującym w środowisku wirtualnym pod kontrolą systemów operacyjnych Windows, Linux pracę zarówno w konfiguracji jedno- jak i wieloprocesorowej;</w:t>
      </w:r>
    </w:p>
    <w:p w14:paraId="18899F4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przydzielenie większej ilości pamięci RAM dla maszyn wirtualnych niż fizyczne zasoby RAM serwera w celu osiągnięcia maksymalnego współczynnika konsolidacji;</w:t>
      </w:r>
    </w:p>
    <w:p w14:paraId="72B0BB83"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udostępnienie maszynie wirtualnej większej ilości zasobów dyskowych niż jest fizycznie zarezerwowane na zasobach dyskowych;</w:t>
      </w:r>
    </w:p>
    <w:p w14:paraId="0116846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sprzętowe wsparcie dla wirtualizacji zagnieżdżonej, w szczególności w zakresie możliwości zastosowania trybu XP made w Windows 7, a także instalacji wszystkich funkcjonalności w tym Hyper-V pakietu Windows Server 2012 na maszynie wirtualnej;</w:t>
      </w:r>
    </w:p>
    <w:p w14:paraId="57E342E8"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integrację z rozwiązaniami antywirusowymi firm trzecich w zakresie skanowania maszyn wirtualnych z poziomu warstwy wirtualizacji;</w:t>
      </w:r>
    </w:p>
    <w:p w14:paraId="448A9B0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zdalny i lokalny dostęp administracyjny do wszystkich serwerów fizycznych poprzez protokół SSH, z możliwością nadawania uprawnień do takiego dostępu nazwanym użytkownikom bez konieczności wykorzystania konta root;</w:t>
      </w:r>
    </w:p>
    <w:p w14:paraId="146AD55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posiadać możliwość tworzenia profili konfiguracyjnych w celu zapewnienia równoważnej konfiguracji wszystkich serwerów fizycznych;</w:t>
      </w:r>
    </w:p>
    <w:p w14:paraId="6187CE29"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zapewnić możliwość klonowania systemów operacyjnych wraz z ich pełną konfiguracją i danymi;</w:t>
      </w:r>
    </w:p>
    <w:p w14:paraId="31FCED63"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zapewnić możliwość o wykonywania kopi migawkowych instancji systemów operacyjnych na potrzeby tworzenia kopii zapasowych bez przerywania ich pracy z możliwością wskazania konieczności zachowania stanu pamięci pracującej maszyny wirtualnej;</w:t>
      </w:r>
    </w:p>
    <w:p w14:paraId="4F2BB76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zarządzające musi posiadać możliwość przydzielania i konfiguracji uprawnień z możliwością integracji z usługami katalogowymi, w szczególności: Microsoft Active Directory, Open LDAP;</w:t>
      </w:r>
    </w:p>
    <w:p w14:paraId="5B287683"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możliwość dodawania zasobów w czasie pracy maszyny wirtualnej, w szczególności w zakresie ilości procesorów, pamięci operacyjnej i przestrzeni dyskowej;</w:t>
      </w:r>
    </w:p>
    <w:p w14:paraId="3A5755FC"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System musi mieć możliwość uruchamiania fizycznych serwerów z przygotowanego obrazu poprzez protokół PXE; System musi umożliwiać udostępnianie pojedynczego urządzenia fizycznego (PCle) jako logicznie separowane wirtualne urządzenia dedykowane dla poszczególnych maszyn wirtualnych;</w:t>
      </w:r>
    </w:p>
    <w:p w14:paraId="438A6895"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System musi posiadać funkcjonalność wirtualnego przełącznika (virtual switch) umożliwiającego tworzenie sieci wirtualnej w obszarze hosta i pozwalającego połączyć maszyny wirtualne w obszarze jednego hosta, a także na zewnątrz sieci fizycznej;</w:t>
      </w:r>
    </w:p>
    <w:p w14:paraId="2FDAF346"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Pojedynczy przełącznik wirtualny powinien mieć możliwość konfiguracji do 4000 portów;</w:t>
      </w:r>
    </w:p>
    <w:p w14:paraId="7DB3816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lastRenderedPageBreak/>
        <w:t>Pojedynczy wirtualny przełącznik musi posiadać możliwość przyłączania do niego dwóch i więcej fizycznych kart sieciowych, aby zapewnić bezpieczeństwo połączenia ethernet’owego w razie awarii karty sieciowej</w:t>
      </w:r>
    </w:p>
    <w:p w14:paraId="6A78E087"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Wirtualne przełączniki muszą obsługiwać wirtualne sieci lokalne (VLAN);</w:t>
      </w:r>
    </w:p>
    <w:p w14:paraId="3A4A8238"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możliwość konfigurowania polityk separacji sieci w warstwie trzeciej, tak aby zapewnić oddzielne grupy wzajemnej komunikacji pomiędzy maszynami wirtualnymi;</w:t>
      </w:r>
    </w:p>
    <w:p w14:paraId="57727CC1"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wykorzystanie technologii 10 GbE, w tym agregację połączeń fizycznych do minimalizacji czasu przenoszenia maszyny wirtualnej pomiędzy serwerami fizycznymi;</w:t>
      </w:r>
    </w:p>
    <w:p w14:paraId="5E28CCD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obsługiwać przełączenie ścieżek LAN (bez utraty komunikacji) w przypadku awarii jednej ze ścieżek;</w:t>
      </w:r>
    </w:p>
    <w:p w14:paraId="5E47D81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zapewnić możliwość zdefiniowania alertów informujących o przekroczeniu wartości progowych;</w:t>
      </w:r>
    </w:p>
    <w:p w14:paraId="053A68E4"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możliwość replikacji maszyn wirtualnych z dowolnej pamięci masowej w tym z dysków wewnętrznych serwerów fizycznych na dowolną pamięć masową w tym samym lub oddalonym ośrodku przetwarzania;</w:t>
      </w:r>
    </w:p>
    <w:p w14:paraId="2CD6A794"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 xml:space="preserve"> Rozwiązanie replikujące musi gwarantować współczynnik RPO na poziomie minimum 5 minut;</w:t>
      </w:r>
    </w:p>
    <w:p w14:paraId="41E7ADC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Czas planowanego przestoju usług związany z koniecznością prac serwisowych (np. rekonfiguracja serwerów, macierzy, switch'y) musi być ograniczony do minimum. Konieczna jest możliwość przenoszenia maszyn wirtualnych pomiędzy serwerami fizycznymi bez przerywania pracy usług;</w:t>
      </w:r>
    </w:p>
    <w:p w14:paraId="7003BE41"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mieć możliwość przenoszenia maszyn wirtualnych w czasie ich pracy pomiędzy serwerami fizycznymi oraz różnymi konsolami do zarządzania wirtualizacją;</w:t>
      </w:r>
    </w:p>
    <w:p w14:paraId="5AA6BE92"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posiadać natywne mechanizmy szyfrowania, podczas przenoszenia maszyn wirtualnych, w czasie ich pracy pomiędzy serwerami fizycznymi;</w:t>
      </w:r>
    </w:p>
    <w:p w14:paraId="49E9C3BA"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Musi zostać zapewniona odpowiednia redundancja i nadmiarowość zasobów tak, by w przypadku awarii np. serwera fizycznego usługi na nim świadczone zostały automatycznie przełączone na inne serwery infrastruktury;</w:t>
      </w:r>
    </w:p>
    <w:p w14:paraId="2806847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łatwe i szybkie ponowne uruchomienie systemów/usług w przypadku awarii poszczególnych elementów infrastruktury bez utraty danych;</w:t>
      </w:r>
    </w:p>
    <w:p w14:paraId="1D15D262"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zapewnić bezpieczeństwo danych mimo poważnego uszkodzenia lub utraty sprzętu lub oprogramowania;</w:t>
      </w:r>
    </w:p>
    <w:p w14:paraId="6934AFB3"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mechanizm bezpiecznego, bezprzerwowego i automatycznego uaktualniania warstwy wirtualizacyjnej wliczając w to zarówno poprawki bezpieczeństwa jaki zmianę jej wersji bez potrzeby wyłączania wirtualnych maszyn;</w:t>
      </w:r>
    </w:p>
    <w:p w14:paraId="2545456A"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posiadać co najmniej 2 niezależne mechanizmy wzajemnej komunikacji między serwerami oraz z serwerem zarządzającym, gwarantujące właściwe działanie mechanizmów wysokiej dostępności na wypadek izolacji sieciowej serwerów fizycznych lub partycjonowania sieci;</w:t>
      </w:r>
    </w:p>
    <w:p w14:paraId="6D84AFB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Decyzja o próbie przywrócenia funkcjonalności maszyny wirtualnej w przypadku awarii lub niedostępności serwera fizycznego powinna być podejmowana automatycznie, jednak musi istnieć możliwość określenia przez administratora czasu po jakim taka decyzja jest wykonywana;</w:t>
      </w:r>
    </w:p>
    <w:p w14:paraId="16573417"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zapewniać pracę bez przestojów dla wybranych maszyn wirtualnych (o maksymalnie dwóch procesorach wirtualnych), niezależnie od systemu operacyjnego oraz aplikacji, podczas awarii serwerów fizycznych, bez utraty danych i dostępności danych podczas awarii serwerów fizycznych;</w:t>
      </w:r>
    </w:p>
    <w:p w14:paraId="2A761A04"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lastRenderedPageBreak/>
        <w:t>Oprogramowanie do wirtualizacji musi obsługiwać przełączenie ścieżek SAN (bez utraty komunikacji) w przypadku awarii jednej ze ścieżek;</w:t>
      </w:r>
    </w:p>
    <w:p w14:paraId="0FD0E61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Oprogramowanie do wirtualizacji musi zapewniać możliwość stworzenia dysku maszyny wirtualnej o wielkości do 62 TB;</w:t>
      </w:r>
    </w:p>
    <w:p w14:paraId="5C18DE7E"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posiadać wbudowany interfejs programistyczny (API) zapewniający pełną integrację zewnętrznych rozwiązań wykonywania kopii zapasowych z istniejącymi mechanizmami warstwy wirtualizacyjnej;</w:t>
      </w:r>
    </w:p>
    <w:p w14:paraId="411C808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umożliwiać konfiguracje HA dla każdego swojego komponentu w celu unikania awarii pojedynczego elementu;</w:t>
      </w:r>
    </w:p>
    <w:p w14:paraId="7D7CC04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System musi wspierać mechanizmy zaawansowanego uwierzytelniania do systemu operacyjnego wirtualnej maszyny za pomocą technologii Smart Card Reader;</w:t>
      </w:r>
    </w:p>
    <w:p w14:paraId="35E9EEFD"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Wirtualizator musi wspierać TPM 2.0 oznacza to m. in. że TPM zapewnia mechanizm gwarantujący, że serwer fizyczny uruchomił się z włączoną opcją Secure Boot. Po potwierdzeniu, że Secure Boot jest włączone, system gwarantuje, że wirtualizator uruchomił w prawidłowej, niezmienionej formie poprzez weryfikację podpisu cyfrowego;</w:t>
      </w:r>
    </w:p>
    <w:p w14:paraId="6A822F8F"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Wirtualizator musi mieć możliwość włączenia funkcji "Microsoft virtualization-based security", tzw. Microsoft VBS dla systemów operacyjnych maszyn wirtualnych opartych o system operacyjny Windows 10, oraz Windows Server 2016.;</w:t>
      </w:r>
    </w:p>
    <w:p w14:paraId="1F675E03"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System musi posiadać certyfikację FIPS-140-2 min. dla modułu jądra wirtualizatora odpowiedzialnego za szyfrowanie danych;</w:t>
      </w:r>
    </w:p>
    <w:p w14:paraId="5B8E637E"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Wirtualizator musi posiadać funkcjonalność wirtualnego TPM 2.0 dla maszyn wirtualnych Windows 10 oraz Windows 2016. Oznacza to, że z punktu widzenia maszyny wirtualnej z systemem operacyjnym Windows 10 lub Windows 2016 wirtualny TPM widziany jest jako standardowy TPM, gdzie można przechowywać bezpiecznie wrażliwe dane np. certyfikaty. Zawartość wirtualnego TPM przechowywana jest w pliku przynależnym do maszyny wirtualnej oraz musi być szyfrowana. W związku z tym, wszystkie standardowe funkcjonalności wirtualizatora, tj. wysoka dostępność, czy przenoszenie maszyn wirtualnych bez ich wyłączania pomiędzy różnymi serwerami fizycznymi, działa prawidłowo;</w:t>
      </w:r>
    </w:p>
    <w:p w14:paraId="008BC0C7"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 xml:space="preserve">Wirtualizator musi posiadać rolę administratora odpowiedzialnego za zarządzanie kluczami szyfrującymi. Rola ta powinna być odseparowana od roli administratora wirtualizatora. Oznacza, to, że tylko administrator odpowiedziany za szyfrowanie ma dostęp do kluczy szyfrujących oraz może zarządzać procesem szyfrowania w obrębie wirtualizatora; </w:t>
      </w:r>
    </w:p>
    <w:p w14:paraId="0C6F4A45"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Wirtualizator musi posiadać funkcjonalność szybkiego uruchamiania wirtualizatora po przeprowadzonym procesie jego aktualizacji. Taka funkcjonalność powoduje, że w procesie aktualizacji wirtualizatora, jeśli wymagany jest jego restart, eliminowana jest czasochłonna faza inicjalizacji serwera fizycznego - następuje skrócenia czasu wymaganego do ponownego uruchomienia serwera fizycznego podczas operacji aktualizacji;</w:t>
      </w:r>
    </w:p>
    <w:p w14:paraId="2480E07B" w14:textId="77777777" w:rsidR="0019656D" w:rsidRP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posiadać wsparcie dla natywnych dysków 4K;</w:t>
      </w:r>
    </w:p>
    <w:p w14:paraId="27C1517A" w14:textId="02A912A9" w:rsidR="0019656D" w:rsidRDefault="0019656D" w:rsidP="00C84B95">
      <w:pPr>
        <w:pStyle w:val="Akapitzlist"/>
        <w:widowControl/>
        <w:numPr>
          <w:ilvl w:val="0"/>
          <w:numId w:val="37"/>
        </w:numPr>
        <w:autoSpaceDE/>
        <w:autoSpaceDN/>
        <w:spacing w:before="0"/>
        <w:ind w:left="426" w:hanging="426"/>
        <w:contextualSpacing/>
        <w:rPr>
          <w:sz w:val="24"/>
          <w:szCs w:val="24"/>
        </w:rPr>
      </w:pPr>
      <w:r w:rsidRPr="0019656D">
        <w:rPr>
          <w:sz w:val="24"/>
          <w:szCs w:val="24"/>
        </w:rPr>
        <w:t>Rozwiązanie musi posiadać centralną konsolę graficzną do zarządzania maszynami wirtualnymi (z wielopoziomowym schematem uprawnień do zarządzania platformą wirtualną oraz dostępem do wirtualnych serwerów), oraz centralne zarządzanie infrastrukturą wirtualną, które w trybie ciągłym monitoruje wszystkie komponenty infrastruktury i umożliwia wykonywanie automatycznych bądź manualnych zadań w celu jej optymalizacji na jednej z maszyn wirtualnych.</w:t>
      </w:r>
    </w:p>
    <w:p w14:paraId="75333DF1" w14:textId="77777777" w:rsidR="00C84B95" w:rsidRPr="00C84B95" w:rsidRDefault="00C84B95" w:rsidP="00C84B95">
      <w:pPr>
        <w:pStyle w:val="Akapitzlist"/>
        <w:widowControl/>
        <w:autoSpaceDE/>
        <w:autoSpaceDN/>
        <w:spacing w:before="0"/>
        <w:ind w:left="426" w:firstLine="0"/>
        <w:contextualSpacing/>
        <w:rPr>
          <w:sz w:val="24"/>
          <w:szCs w:val="24"/>
        </w:rPr>
      </w:pPr>
    </w:p>
    <w:p w14:paraId="793ABA37" w14:textId="779845F9" w:rsidR="00EF64E7" w:rsidRPr="0019656D" w:rsidRDefault="00525D19" w:rsidP="006A3F0E">
      <w:pPr>
        <w:tabs>
          <w:tab w:val="left" w:pos="782"/>
        </w:tabs>
        <w:spacing w:before="121"/>
        <w:ind w:right="303"/>
        <w:rPr>
          <w:rFonts w:ascii="Times New Roman" w:hAnsi="Times New Roman" w:cs="Times New Roman"/>
          <w:b/>
          <w:i/>
          <w:sz w:val="24"/>
          <w:szCs w:val="24"/>
          <w:u w:val="single"/>
        </w:rPr>
      </w:pPr>
      <w:r w:rsidRPr="0019656D">
        <w:rPr>
          <w:rFonts w:ascii="Times New Roman" w:hAnsi="Times New Roman" w:cs="Times New Roman"/>
          <w:b/>
          <w:bCs/>
          <w:sz w:val="24"/>
          <w:szCs w:val="24"/>
          <w:u w:val="single"/>
        </w:rPr>
        <w:t xml:space="preserve">PAKIET nr 3 </w:t>
      </w:r>
      <w:r w:rsidR="006A3F0E" w:rsidRPr="0019656D">
        <w:rPr>
          <w:rFonts w:ascii="Times New Roman" w:eastAsia="Times New Roman" w:hAnsi="Times New Roman" w:cs="Times New Roman"/>
          <w:b/>
          <w:bCs/>
          <w:i/>
          <w:iCs/>
          <w:color w:val="32373C"/>
          <w:kern w:val="0"/>
          <w:sz w:val="24"/>
          <w:szCs w:val="24"/>
          <w:u w:val="single"/>
          <w:lang w:eastAsia="pl-PL"/>
          <w14:ligatures w14:val="none"/>
        </w:rPr>
        <w:t>Dostawa kodowanej szafki na klucze.</w:t>
      </w:r>
    </w:p>
    <w:p w14:paraId="5C028D60" w14:textId="3D343855" w:rsidR="006C1C30" w:rsidRPr="00D7012B" w:rsidRDefault="006C1C30" w:rsidP="006C1C30">
      <w:pPr>
        <w:jc w:val="both"/>
        <w:rPr>
          <w:rFonts w:ascii="Times New Roman" w:hAnsi="Times New Roman" w:cs="Times New Roman"/>
          <w:i/>
          <w:iCs/>
          <w:kern w:val="0"/>
          <w:u w:val="single"/>
          <w14:ligatures w14:val="none"/>
        </w:rPr>
      </w:pPr>
      <w:r w:rsidRPr="00D7012B">
        <w:rPr>
          <w:rFonts w:ascii="Times New Roman" w:hAnsi="Times New Roman" w:cs="Times New Roman"/>
          <w:i/>
          <w:iCs/>
          <w:kern w:val="0"/>
          <w:u w:val="single"/>
          <w14:ligatures w14:val="none"/>
        </w:rPr>
        <w:lastRenderedPageBreak/>
        <w:t xml:space="preserve">Dostawa, montaż, podłączenie, konfiguracja i </w:t>
      </w:r>
      <w:r w:rsidR="00D7012B" w:rsidRPr="00D7012B">
        <w:rPr>
          <w:rFonts w:ascii="Times New Roman" w:hAnsi="Times New Roman" w:cs="Times New Roman"/>
          <w:i/>
          <w:iCs/>
          <w:kern w:val="0"/>
          <w:u w:val="single"/>
          <w14:ligatures w14:val="none"/>
        </w:rPr>
        <w:t xml:space="preserve">uruchomienie </w:t>
      </w:r>
      <w:r w:rsidR="00D7012B" w:rsidRPr="00D7012B">
        <w:rPr>
          <w:rFonts w:ascii="Times New Roman" w:eastAsia="Times New Roman" w:hAnsi="Times New Roman" w:cs="Times New Roman"/>
          <w:i/>
          <w:iCs/>
          <w:kern w:val="0"/>
          <w:u w:val="single"/>
          <w14:ligatures w14:val="none"/>
        </w:rPr>
        <w:t>depozytora</w:t>
      </w:r>
      <w:r w:rsidRPr="00D7012B">
        <w:rPr>
          <w:rFonts w:ascii="Times New Roman" w:eastAsia="Times New Roman" w:hAnsi="Times New Roman" w:cs="Times New Roman"/>
          <w:i/>
          <w:iCs/>
          <w:kern w:val="0"/>
          <w:u w:val="single"/>
          <w14:ligatures w14:val="none"/>
        </w:rPr>
        <w:t xml:space="preserve"> na 50 kluczy </w:t>
      </w:r>
      <w:r w:rsidRPr="00D7012B">
        <w:rPr>
          <w:rFonts w:ascii="Times New Roman" w:hAnsi="Times New Roman" w:cs="Times New Roman"/>
          <w:i/>
          <w:iCs/>
          <w:kern w:val="0"/>
          <w:u w:val="single"/>
          <w14:ligatures w14:val="none"/>
        </w:rPr>
        <w:t>wraz z oprogramowaniem niezbędnym do ich obsługi</w:t>
      </w:r>
    </w:p>
    <w:p w14:paraId="68F68A04" w14:textId="77777777" w:rsidR="006C1C30" w:rsidRPr="006C1C30" w:rsidRDefault="006C1C30" w:rsidP="006C1C30">
      <w:pPr>
        <w:jc w:val="both"/>
        <w:rPr>
          <w:rFonts w:ascii="Times New Roman" w:hAnsi="Times New Roman" w:cs="Times New Roman"/>
          <w:i/>
          <w:iCs/>
          <w:kern w:val="0"/>
          <w:u w:val="single"/>
          <w14:ligatures w14:val="none"/>
        </w:rPr>
      </w:pPr>
      <w:r w:rsidRPr="006C1C30">
        <w:rPr>
          <w:rFonts w:ascii="Times New Roman" w:hAnsi="Times New Roman" w:cs="Times New Roman"/>
          <w:i/>
          <w:iCs/>
          <w:kern w:val="0"/>
          <w:u w:val="single"/>
          <w14:ligatures w14:val="none"/>
        </w:rPr>
        <w:t>Miejsce dostawy, podłączenia i konfiguracja depozytora: budynek Administracji (nr 5) przy ul. Zjednoczenia 10, 41-500 Chorzów.</w:t>
      </w:r>
    </w:p>
    <w:p w14:paraId="5519BC1B" w14:textId="77777777" w:rsidR="006C1C30" w:rsidRPr="006C1C30" w:rsidRDefault="006C1C30" w:rsidP="006C1C30">
      <w:pPr>
        <w:spacing w:line="252" w:lineRule="auto"/>
        <w:contextualSpacing/>
        <w:jc w:val="both"/>
        <w:rPr>
          <w:rFonts w:ascii="Times New Roman" w:hAnsi="Times New Roman" w:cs="Times New Roman"/>
          <w:b/>
          <w:bCs/>
          <w:kern w:val="0"/>
          <w14:ligatures w14:val="none"/>
        </w:rPr>
      </w:pPr>
      <w:r w:rsidRPr="006C1C30">
        <w:rPr>
          <w:rFonts w:ascii="Times New Roman" w:hAnsi="Times New Roman" w:cs="Times New Roman"/>
          <w:b/>
          <w:bCs/>
          <w:kern w:val="0"/>
          <w14:ligatures w14:val="none"/>
        </w:rPr>
        <w:t>Wymagania szczegółowe:</w:t>
      </w:r>
    </w:p>
    <w:p w14:paraId="57522CED" w14:textId="77777777" w:rsidR="006C1C30" w:rsidRPr="006C1C30" w:rsidRDefault="006C1C30" w:rsidP="006C1C30">
      <w:pPr>
        <w:numPr>
          <w:ilvl w:val="0"/>
          <w:numId w:val="32"/>
        </w:numPr>
        <w:spacing w:line="252" w:lineRule="auto"/>
        <w:ind w:left="426"/>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Wykonawca w zakresie dostawy przedmiotu zamówienia zapewni:</w:t>
      </w:r>
    </w:p>
    <w:p w14:paraId="06926721"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montaż depozytora kluczy w miejscach wskazanych przez Zamawiającego;</w:t>
      </w:r>
    </w:p>
    <w:p w14:paraId="398B0719"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konfigurację i uruchomienie systemu;</w:t>
      </w:r>
    </w:p>
    <w:p w14:paraId="259C2712"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szkolenie z obsługi i konfiguracji dla 10 pracowników Zamawiającego. Szkolenie odbędzie się po wykonaniu czynności wskazanych w pkt 1. Zamawiający nie dopuszcza przeprowadzenia szkolenia w formie korespondencyjnej lub e-learningowej;</w:t>
      </w:r>
    </w:p>
    <w:p w14:paraId="7293A0F9"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depozytor powinien zawierać komplet breloków na klucze i plomb oraz dodatkowy zapas 5 breloków i 25 plomb.</w:t>
      </w:r>
    </w:p>
    <w:p w14:paraId="24935C95" w14:textId="49797455" w:rsidR="006C1C30" w:rsidRPr="006C1C30" w:rsidRDefault="006C1C30" w:rsidP="006C1C30">
      <w:pPr>
        <w:numPr>
          <w:ilvl w:val="0"/>
          <w:numId w:val="33"/>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50 kart </w:t>
      </w:r>
      <w:r w:rsidR="00D7012B" w:rsidRPr="006C1C30">
        <w:rPr>
          <w:rFonts w:ascii="Times New Roman" w:hAnsi="Times New Roman" w:cs="Times New Roman"/>
          <w:kern w:val="0"/>
          <w14:ligatures w14:val="none"/>
        </w:rPr>
        <w:t>u</w:t>
      </w:r>
      <w:r w:rsidR="00D7012B">
        <w:rPr>
          <w:rFonts w:ascii="Times New Roman" w:hAnsi="Times New Roman" w:cs="Times New Roman"/>
          <w:kern w:val="0"/>
          <w14:ligatures w14:val="none"/>
        </w:rPr>
        <w:t xml:space="preserve">żytkowników </w:t>
      </w:r>
      <w:r w:rsidRPr="006C1C30">
        <w:rPr>
          <w:rFonts w:ascii="Times New Roman" w:hAnsi="Times New Roman" w:cs="Times New Roman"/>
          <w:kern w:val="0"/>
          <w14:ligatures w14:val="none"/>
        </w:rPr>
        <w:t>do autoryzacji (Mifare)</w:t>
      </w:r>
    </w:p>
    <w:p w14:paraId="445377CD"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24 miesięczną gwarancję oraz w jej trakcie pełne bezpłatne wsparcie techniczne w tym serwis oraz konserwacja;</w:t>
      </w:r>
    </w:p>
    <w:p w14:paraId="5127CBBD"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czas reakcji serwisowej do 24 godzin od chwili zgłoszenia przez Zamawiającego;</w:t>
      </w:r>
    </w:p>
    <w:p w14:paraId="7EBFEA72"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czas naprawy do 48 godzin, licząc od chwili zgłoszenia przez Zamawiającego, z możliwością przedłużenia w uzasadnionych przypadkach, po uprzednim uzyskaniu pisemnej zgody Zamawiającego;</w:t>
      </w:r>
    </w:p>
    <w:p w14:paraId="239220FC"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 przypadku braku możliwości usunięcia awarii w terminie wskazanym w ust. 9 Wykonawca zobowiązuje się do wymiany uszkodzonego elementu urządzenia bez dodatkowych kosztów lub dostarczenie zastępczego urządzenia o parametrach nie gorszych niż uszkodzone. Urządzenie nowe lub zastępcze powinno zostać dostarczone Zamawiającemu w terminie nie dłuższym niż 5 dni roboczych od momentu zgłoszenia awarii przez Zamawiającego.</w:t>
      </w:r>
    </w:p>
    <w:p w14:paraId="380829E8"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w okresie trwania gwarancji dokonanie w każdym roku obowiązywania gwarancji co najmniej jednego przeglądu konserwacyjnego;  </w:t>
      </w:r>
    </w:p>
    <w:p w14:paraId="2C3C7243"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wymagane dla prawidłowego funkcjonowania Przedmiotu Zamówienia oprogramowanie wraz z bezterminową, nie posiadającą ograniczeń stanowiskowych licencją oraz bezpłatną aktualizację oprogramowania w okresie trwania gwarancji.</w:t>
      </w:r>
    </w:p>
    <w:p w14:paraId="25F84B09" w14:textId="77777777" w:rsidR="006C1C30" w:rsidRPr="006C1C30" w:rsidRDefault="006C1C30" w:rsidP="006C1C30">
      <w:pPr>
        <w:spacing w:line="252" w:lineRule="auto"/>
        <w:contextualSpacing/>
        <w:jc w:val="both"/>
        <w:rPr>
          <w:rFonts w:ascii="Times New Roman" w:hAnsi="Times New Roman" w:cs="Times New Roman"/>
          <w:b/>
          <w:bCs/>
          <w:kern w:val="0"/>
          <w14:ligatures w14:val="none"/>
        </w:rPr>
      </w:pPr>
      <w:r w:rsidRPr="006C1C30">
        <w:rPr>
          <w:rFonts w:ascii="Times New Roman" w:hAnsi="Times New Roman" w:cs="Times New Roman"/>
          <w:b/>
          <w:bCs/>
          <w:kern w:val="0"/>
          <w14:ligatures w14:val="none"/>
        </w:rPr>
        <w:t>Ogólne wymagania dotyczące depozytorów kluczy:</w:t>
      </w:r>
    </w:p>
    <w:p w14:paraId="416351D1" w14:textId="77777777" w:rsidR="006C1C30" w:rsidRPr="006C1C30" w:rsidRDefault="006C1C30" w:rsidP="006C1C30">
      <w:pPr>
        <w:numPr>
          <w:ilvl w:val="0"/>
          <w:numId w:val="32"/>
        </w:numPr>
        <w:spacing w:after="0" w:line="360" w:lineRule="auto"/>
        <w:ind w:left="426"/>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Wymagania techniczno – użytkowe depozytora</w:t>
      </w:r>
    </w:p>
    <w:p w14:paraId="1A468596"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obudowa stalowa zwarta, wyposażona w minimum 10 calowy kolorowy dotykowy terminal przemysłowy wyposażony w wyświetlacz OLED (wyświetlający miedzy innymi komunikaty o zajętości gniazda, kluczu pobranym, kluczu zdanym, kluczu zablokowanym) do zarządzania depozytorem, wyposażony w minimum: 2 porty USB; 2 porty </w:t>
      </w:r>
      <w:r w:rsidRPr="006C1C30">
        <w:rPr>
          <w:rFonts w:ascii="Times New Roman" w:hAnsi="Times New Roman" w:cs="Times New Roman"/>
          <w:kern w:val="0"/>
          <w14:ligatures w14:val="none"/>
        </w:rPr>
        <w:br/>
        <w:t xml:space="preserve">RJ-45, Dysk SSD M2 o pojemności 20GB. </w:t>
      </w:r>
    </w:p>
    <w:p w14:paraId="1E7F89FC"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budowa modułowa umożliwiająca zamianę paneli kluczowych na skrytkowe i odwrotnie, zmiana kolejności modułów nie może wiązać się z wymianą obudowy. Panele muszą posiadać możliwość zamiany miejscami między sobą oraz między depozytorami.</w:t>
      </w:r>
    </w:p>
    <w:p w14:paraId="1DDD4EC2"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Panele skrytkowe muszą stanowić integralną część obudowy depozytora, a całość musi być zamknięta za drzwiami z elektrozamkiem. Ze względów bezpieczeństwa nie dopuszcza się stosowania modułów doczepianych (nadstawek).</w:t>
      </w:r>
    </w:p>
    <w:p w14:paraId="4E232385"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możliwość integracji z systemem dodatkowych depozytorów. Możliwość połączenia depozytorów kluczy ze sobą za pośrednictwem sieci LAN. Połączone depozytory powinny funkcjonować jako jeden systemem umożliwiający komunikację urządzeń w czasie rzeczywistym, zapewniając możliwość sprawdzenia dostępności kluczy znajdujących się również w drugim urządzeniu, rejestrowanie jednego raportu zdarzeń, z możliwością kontroli za pośrednictwem któregokolwiek depozytora oraz sprawdzanie aktualnego stanu </w:t>
      </w:r>
      <w:r w:rsidRPr="006C1C30">
        <w:rPr>
          <w:rFonts w:ascii="Times New Roman" w:hAnsi="Times New Roman" w:cs="Times New Roman"/>
          <w:kern w:val="0"/>
          <w14:ligatures w14:val="none"/>
        </w:rPr>
        <w:lastRenderedPageBreak/>
        <w:t>kluczy, nadawanie uprawnień, generowanie raportów do obu urządzeń poprzez którykolwiek z terminalów zarządzających zainstalowanych w urządzeniach;</w:t>
      </w:r>
    </w:p>
    <w:p w14:paraId="35168440"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spełnienie zapisów NO-A-04:2016 oraz warunki techniczno-eksploatacyjne (lub równoważne).</w:t>
      </w:r>
    </w:p>
    <w:p w14:paraId="3BDC6A69"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 deklaracje  zgodności CE na przedmiotowe urządzenia;</w:t>
      </w:r>
    </w:p>
    <w:p w14:paraId="11EB0BD9"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 depozytor jednodrzwiowy, część kluczowa zabezpieczona drzwiami z szybą, otwierana zamkiem elektromechanicznym;</w:t>
      </w:r>
    </w:p>
    <w:p w14:paraId="0132452C"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każdy klucz przyczepiony za pomocą stalowego breloczka. Brelok musi być autoryzowany w urządzeniu nazwa i numer klucza (breloka) wyświetlany na wyświetlaczu</w:t>
      </w:r>
    </w:p>
    <w:p w14:paraId="00946B73"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klucze muszą być zabezpieczone przed nieuprawnionym pobraniem bezstykową kontrolą klucza wykorzystującą technologię RFID;</w:t>
      </w:r>
    </w:p>
    <w:p w14:paraId="58EAD2AD" w14:textId="77777777" w:rsidR="006C1C30" w:rsidRPr="006C1C30" w:rsidRDefault="006C1C30" w:rsidP="006C1C30">
      <w:pPr>
        <w:numPr>
          <w:ilvl w:val="0"/>
          <w:numId w:val="30"/>
        </w:numPr>
        <w:spacing w:after="0"/>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Autoryzacja do systemu przy pomocy: (karta, PIN, Karta+PIN, oraz Podwójna autoryzacja: (Karta+Pin) + (Karta+PIN);</w:t>
      </w:r>
    </w:p>
    <w:p w14:paraId="43A10927"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umożliwienie pobrania więcej niż jednego klucza przez jedną uprawnioną osobę;</w:t>
      </w:r>
    </w:p>
    <w:p w14:paraId="13E907A5"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w sytuacji gdy użytkownik posiada dostęp tylko do jednego klucza, depozytor automatycznie powinien zwolnić blokadę breloka i podświetli miejsce w którym się znajduje bez konieczności wyboru na ekranie depozytora;</w:t>
      </w:r>
    </w:p>
    <w:p w14:paraId="6DD6FCB0"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oprogramowanie powinno zapewnić:</w:t>
      </w:r>
    </w:p>
    <w:p w14:paraId="6BA8CB2B"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nadawanie uprawnień  do kluczy pozwalających użytkownikowi/ grupie na pobranie przypisanych kluczy, w określonym czasie,</w:t>
      </w:r>
    </w:p>
    <w:p w14:paraId="45872BBA"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możliwość pobrania większej ilości kluczy (breloków)podczas jednej autoryzacji,</w:t>
      </w:r>
    </w:p>
    <w:p w14:paraId="6DA56931"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pełną identyfikację oraz blokadę zdeponowanego klucza (breloka) w gnieździe depozytora,</w:t>
      </w:r>
    </w:p>
    <w:p w14:paraId="7DC168D8"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dostęp tylko do wybranych kluczy (breloków) w zależności od nadanych uprawnień,</w:t>
      </w:r>
    </w:p>
    <w:p w14:paraId="7FE023F8"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zwrot klucza do dowolnego gniazda depozytora lub do konkretnego wskazanego i podświetlonego gniazda,</w:t>
      </w:r>
    </w:p>
    <w:p w14:paraId="54D0EAE3"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po uprzedniej autoryzacji przez użytkownika wyświetlenie tylko nazwy kluczy (breloków), do których dany użytkownik posiada dostęp,</w:t>
      </w:r>
    </w:p>
    <w:p w14:paraId="6DCFE1CD"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możliwość sporządzania wydruków ze zdarzeń w pracy systemu według zdefiniowanych uprzednio kryteriów,</w:t>
      </w:r>
    </w:p>
    <w:p w14:paraId="5B165F6C"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kern w:val="0"/>
          <w14:ligatures w14:val="none"/>
        </w:rPr>
        <w:t>informowanie o braku kluczy (breloka) w depozytorze. Wyświetlanie informacji o dacie operacji, nazwie użytkownika ewentualnie o danych kontaktowych do użytkownika,</w:t>
      </w:r>
    </w:p>
    <w:p w14:paraId="04578615"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zdalny bieżący nadzór i stałe monitorowanie obecności kluczy w systemie,</w:t>
      </w:r>
    </w:p>
    <w:p w14:paraId="2CBF90EC"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val="x-none" w:eastAsia="x-none"/>
          <w14:ligatures w14:val="none"/>
        </w:rPr>
        <w:t>ustawianie depozytora, ustawienia sieci, tworzenie kopii zapasowej bazy danych, zmiana języka,</w:t>
      </w:r>
    </w:p>
    <w:p w14:paraId="4C27778A"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kern w:val="0"/>
          <w:lang w:eastAsia="x-none"/>
          <w14:ligatures w14:val="none"/>
        </w:rPr>
        <w:t>rejestr zmian dokonanych przez administratora,</w:t>
      </w:r>
      <w:r w:rsidRPr="006C1C30">
        <w:rPr>
          <w:rFonts w:ascii="Times New Roman" w:eastAsia="Times New Roman" w:hAnsi="Times New Roman" w:cs="Times New Roman"/>
          <w:bCs/>
          <w:kern w:val="0"/>
          <w:lang w:eastAsia="x-none"/>
          <w14:ligatures w14:val="none"/>
        </w:rPr>
        <w:t xml:space="preserve"> zapewniając możliwość weryfikacji jakie zmiany wprowadzili administratorzy i sub-administratorzy.</w:t>
      </w:r>
    </w:p>
    <w:p w14:paraId="2121BFC1"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val="x-none" w:eastAsia="x-none"/>
          <w14:ligatures w14:val="none"/>
        </w:rPr>
        <w:t>możliwość nadawania tymczasowych uprawnień do kluczy: w określonych ramach czasowych (od dnia do dnia), na określoną liczbę pobrań, na określony dzień itd.</w:t>
      </w:r>
    </w:p>
    <w:p w14:paraId="26C601B1"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menu obsługi w języku polskim;</w:t>
      </w:r>
    </w:p>
    <w:p w14:paraId="153BAE15"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instrukcja obsługi w formie elektronicznej i papierowej w polskiej wersji językowej;</w:t>
      </w:r>
    </w:p>
    <w:p w14:paraId="2D9219BF"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
          <w:kern w:val="0"/>
          <w:lang w:val="x-none" w:eastAsia="x-none"/>
          <w14:ligatures w14:val="none"/>
        </w:rPr>
      </w:pPr>
      <w:r w:rsidRPr="006C1C30">
        <w:rPr>
          <w:rFonts w:ascii="Times New Roman" w:eastAsia="Times New Roman" w:hAnsi="Times New Roman" w:cs="Times New Roman"/>
          <w:kern w:val="0"/>
          <w:lang w:val="x-none" w:eastAsia="x-none"/>
          <w14:ligatures w14:val="none"/>
        </w:rPr>
        <w:t>posiadać rejestrację wszystkich zdarzeń o pojemności umożliwiającej ich rejestrację z co najmniej ostatnich 30 dni</w:t>
      </w:r>
      <w:r w:rsidRPr="006C1C30">
        <w:rPr>
          <w:rFonts w:ascii="Times New Roman" w:eastAsia="Times New Roman" w:hAnsi="Times New Roman" w:cs="Times New Roman"/>
          <w:kern w:val="0"/>
          <w:lang w:eastAsia="x-none"/>
          <w14:ligatures w14:val="none"/>
        </w:rPr>
        <w:t>;</w:t>
      </w:r>
    </w:p>
    <w:p w14:paraId="58F27E1D"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mieć zabezpieczenia przeciwsabotażowe, przeciwprzepięciowe oraz odporność na urazy i wstrząsy mechaniczne o małej częstotliwości;</w:t>
      </w:r>
    </w:p>
    <w:p w14:paraId="69DD148C"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zapewnić możliwość rozbudowy systemu;</w:t>
      </w:r>
    </w:p>
    <w:p w14:paraId="616A1BEB"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umożliwiać deponowanie pewnej liczby kluczy w sposób zapewniający zabezpieczenie przed skopiowaniem, odciskiem, wglądem w profil części roboczej klucza, sfotografowaniem (np. skrytki depozytowe);</w:t>
      </w:r>
    </w:p>
    <w:p w14:paraId="3EBDF723"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sygnalizować dźwiękowo i wizualnie próby nieuprawnionego pobrania klucza, mechanicznej ingerencji w urządzenie; prób sabotażu oraz braku zamknięcia drzwi depozytora;</w:t>
      </w:r>
    </w:p>
    <w:p w14:paraId="18BEE1B8" w14:textId="77777777" w:rsidR="006C1C30" w:rsidRPr="006C1C30" w:rsidRDefault="006C1C30" w:rsidP="006C1C30">
      <w:pPr>
        <w:numPr>
          <w:ilvl w:val="0"/>
          <w:numId w:val="30"/>
        </w:numPr>
        <w:ind w:left="993" w:hanging="567"/>
        <w:contextualSpacing/>
        <w:jc w:val="both"/>
        <w:rPr>
          <w:rFonts w:ascii="Times New Roman" w:hAnsi="Times New Roman" w:cs="Times New Roman"/>
          <w:b/>
          <w:kern w:val="0"/>
          <w14:ligatures w14:val="none"/>
        </w:rPr>
      </w:pPr>
      <w:r w:rsidRPr="006C1C30">
        <w:rPr>
          <w:rFonts w:ascii="Times New Roman" w:hAnsi="Times New Roman" w:cs="Times New Roman"/>
          <w:bCs/>
          <w:kern w:val="0"/>
          <w14:ligatures w14:val="none"/>
        </w:rPr>
        <w:lastRenderedPageBreak/>
        <w:t>powinien posiadać wielosystemowy</w:t>
      </w:r>
      <w:r w:rsidRPr="006C1C30">
        <w:rPr>
          <w:rFonts w:ascii="Times New Roman" w:hAnsi="Times New Roman" w:cs="Times New Roman"/>
          <w:kern w:val="0"/>
          <w14:ligatures w14:val="none"/>
        </w:rPr>
        <w:t xml:space="preserve"> czytnik kart zbliżeniowych obsługujący karty w systemach: Mifare, HID, Unique, Indala, Ultralight – zlicowany z obudową depozytora (niewystający po za obudowę);</w:t>
      </w:r>
    </w:p>
    <w:p w14:paraId="6DE607D0"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umożliwiać identyfikację użytkownika poprzez odczyt danych z karty zbliżeniowej, kod PIN, oraz dowolną kombinację powyższych sposobów identyfikacji;</w:t>
      </w:r>
    </w:p>
    <w:p w14:paraId="2CC6AAB4"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posiadać czytelny dla użytkownika panel komunikacji i sterowania;</w:t>
      </w:r>
    </w:p>
    <w:p w14:paraId="5C8F83D8"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umożliwiać awaryjne wydanie kluczy w sytuacji zagrożenia;</w:t>
      </w:r>
    </w:p>
    <w:p w14:paraId="08C1E81D"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posiadać wbudowany system zasilania awaryjnego zapewniający prawidłową pracę urządzeń w przypadku zaniku zasilania podstawowego;</w:t>
      </w:r>
    </w:p>
    <w:p w14:paraId="11F25091"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posiadać możliwość tworzenia stref czasowych dla użytkowników;</w:t>
      </w:r>
    </w:p>
    <w:p w14:paraId="18098EB7"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generowanie alarmu ze zdarzeń będących anomaliami w pracy systemu, </w:t>
      </w:r>
      <w:r w:rsidRPr="006C1C30">
        <w:rPr>
          <w:rFonts w:ascii="Times New Roman" w:hAnsi="Times New Roman" w:cs="Times New Roman"/>
          <w:kern w:val="0"/>
          <w14:ligatures w14:val="none"/>
        </w:rPr>
        <w:br/>
        <w:t>tj. braku kluczy w zdefiniowanych uprzednio oknach czasowych, usterek technicznych, nieprawidłowej obsługi, nieuprawnionych prób pobrania kluczy;</w:t>
      </w:r>
    </w:p>
    <w:p w14:paraId="41B4B342"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umożliwiać </w:t>
      </w:r>
      <w:bookmarkStart w:id="0" w:name="_Hlk80006700"/>
      <w:r w:rsidRPr="006C1C30">
        <w:rPr>
          <w:rFonts w:ascii="Times New Roman" w:hAnsi="Times New Roman" w:cs="Times New Roman"/>
          <w:kern w:val="0"/>
          <w14:ligatures w14:val="none"/>
        </w:rPr>
        <w:t xml:space="preserve">zdalny bieżący nadzór i stałe monitorowanie obecności kluczy </w:t>
      </w:r>
      <w:r w:rsidRPr="006C1C30">
        <w:rPr>
          <w:rFonts w:ascii="Times New Roman" w:hAnsi="Times New Roman" w:cs="Times New Roman"/>
          <w:kern w:val="0"/>
          <w14:ligatures w14:val="none"/>
        </w:rPr>
        <w:br/>
        <w:t>w systemie</w:t>
      </w:r>
      <w:bookmarkEnd w:id="0"/>
      <w:r w:rsidRPr="006C1C30">
        <w:rPr>
          <w:rFonts w:ascii="Times New Roman" w:hAnsi="Times New Roman" w:cs="Times New Roman"/>
          <w:kern w:val="0"/>
          <w14:ligatures w14:val="none"/>
        </w:rPr>
        <w:t>;</w:t>
      </w:r>
    </w:p>
    <w:p w14:paraId="4C4DCE55"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wskazywanie użytych kart zbliżeniowych podczas przypisywania karty nowemu użytkownikowi;</w:t>
      </w:r>
    </w:p>
    <w:p w14:paraId="5FF1672C"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powinien posiadać możliwość </w:t>
      </w:r>
      <w:r w:rsidRPr="006C1C30">
        <w:rPr>
          <w:rFonts w:ascii="Times New Roman" w:hAnsi="Times New Roman" w:cs="Times New Roman"/>
          <w:bCs/>
          <w:kern w:val="0"/>
          <w14:ligatures w14:val="none"/>
        </w:rPr>
        <w:t>powiadomień mailowych</w:t>
      </w:r>
      <w:r w:rsidRPr="006C1C30">
        <w:rPr>
          <w:rFonts w:ascii="Times New Roman" w:hAnsi="Times New Roman" w:cs="Times New Roman"/>
          <w:kern w:val="0"/>
          <w14:ligatures w14:val="none"/>
        </w:rPr>
        <w:t xml:space="preserve"> nie zdania klucza po określonych godzinach;</w:t>
      </w:r>
    </w:p>
    <w:p w14:paraId="4B0FEA16"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możliwość nadawania </w:t>
      </w:r>
      <w:r w:rsidRPr="006C1C30">
        <w:rPr>
          <w:rFonts w:ascii="Times New Roman" w:hAnsi="Times New Roman" w:cs="Times New Roman"/>
          <w:bCs/>
          <w:kern w:val="0"/>
          <w14:ligatures w14:val="none"/>
        </w:rPr>
        <w:t>dowolnych, wielopoziomowych uprawnień</w:t>
      </w:r>
      <w:r w:rsidRPr="006C1C30">
        <w:rPr>
          <w:rFonts w:ascii="Times New Roman" w:hAnsi="Times New Roman" w:cs="Times New Roman"/>
          <w:kern w:val="0"/>
          <w14:ligatures w14:val="none"/>
        </w:rPr>
        <w:t xml:space="preserve"> dostępu do funkcji depozytora zarówno z poziomu dotykowego terminala LCD umieszczonego w depozytorze jak również z poziomu aplikacji webowej (np. tylko podgląd zdarzeń, sprawdzanie stanu kluczy, nadawanie uprawnień do kluczy, tworzenie okien czasowych, zarządzanie ściśle określoną ilością kluczy/użytkowników lub inne wedle potrzeby);</w:t>
      </w:r>
    </w:p>
    <w:p w14:paraId="3C94256F"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mechanicznego otwarcia depozytora oraz zwolnienia kluczy w przypadku braku zasilania lub awarii (otwarcie za pomocą kluczy);</w:t>
      </w:r>
    </w:p>
    <w:p w14:paraId="1A6CEC31"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importu i eksportu danych (Imię, Nazwisko, numer karty inne);</w:t>
      </w:r>
    </w:p>
    <w:p w14:paraId="5FADD79C"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filtrowania zgromadzonych w systemie informacji według: użytkownika, breloka (klucza), zdarzenia;</w:t>
      </w:r>
    </w:p>
    <w:p w14:paraId="2B356446"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depozytor musi być urządzeniem autonomicznym. Własna baza danych przechowywana na wewnętrznym dysku twardym, serwer www oraz inne niezbędne oprogramowanie, które zapewnia zachowanie pełnej funkcjonalności i poprawności pracy depozytora zaimplementowane w depozytorze;</w:t>
      </w:r>
    </w:p>
    <w:p w14:paraId="3A549AC9"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Zamawiający nie dopuszcza instalowania oprogramowania zarządzającego na komputerach zewnętrznych. Zarządzanie zdalne jedynie poprzez przeglądarkę WEB.</w:t>
      </w:r>
    </w:p>
    <w:p w14:paraId="01B8F71C" w14:textId="77777777" w:rsidR="006C1C30" w:rsidRPr="006C1C30" w:rsidRDefault="006C1C30" w:rsidP="006C1C30">
      <w:pPr>
        <w:tabs>
          <w:tab w:val="left" w:pos="993"/>
        </w:tabs>
        <w:spacing w:after="0" w:line="240" w:lineRule="auto"/>
        <w:contextualSpacing/>
        <w:jc w:val="both"/>
        <w:rPr>
          <w:rFonts w:ascii="Times New Roman" w:hAnsi="Times New Roman" w:cs="Times New Roman"/>
          <w:kern w:val="0"/>
          <w:highlight w:val="yellow"/>
          <w14:ligatures w14:val="none"/>
        </w:rPr>
      </w:pPr>
    </w:p>
    <w:p w14:paraId="4531AA55" w14:textId="77777777" w:rsidR="00BD1F36" w:rsidRPr="00BD1F36" w:rsidRDefault="00BD1F36" w:rsidP="00BD1F36">
      <w:pPr>
        <w:jc w:val="both"/>
        <w:rPr>
          <w:rFonts w:ascii="Times New Roman" w:hAnsi="Times New Roman" w:cs="Times New Roman"/>
        </w:rPr>
      </w:pPr>
    </w:p>
    <w:sectPr w:rsidR="00BD1F36" w:rsidRPr="00BD1F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366E"/>
    <w:multiLevelType w:val="hybridMultilevel"/>
    <w:tmpl w:val="B55C15E4"/>
    <w:lvl w:ilvl="0" w:tplc="74C4FD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44CDF"/>
    <w:multiLevelType w:val="hybridMultilevel"/>
    <w:tmpl w:val="C41624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3C623E"/>
    <w:multiLevelType w:val="hybridMultilevel"/>
    <w:tmpl w:val="44549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8115F4"/>
    <w:multiLevelType w:val="hybridMultilevel"/>
    <w:tmpl w:val="ECF07B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BD1F2C"/>
    <w:multiLevelType w:val="hybridMultilevel"/>
    <w:tmpl w:val="05144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281E2C"/>
    <w:multiLevelType w:val="hybridMultilevel"/>
    <w:tmpl w:val="819A922E"/>
    <w:lvl w:ilvl="0" w:tplc="04150011">
      <w:start w:val="1"/>
      <w:numFmt w:val="decimal"/>
      <w:lvlText w:val="%1)"/>
      <w:lvlJc w:val="left"/>
      <w:pPr>
        <w:ind w:left="1059" w:hanging="360"/>
      </w:pPr>
    </w:lvl>
    <w:lvl w:ilvl="1" w:tplc="04150019" w:tentative="1">
      <w:start w:val="1"/>
      <w:numFmt w:val="lowerLetter"/>
      <w:lvlText w:val="%2."/>
      <w:lvlJc w:val="left"/>
      <w:pPr>
        <w:ind w:left="1779" w:hanging="360"/>
      </w:pPr>
    </w:lvl>
    <w:lvl w:ilvl="2" w:tplc="0415001B" w:tentative="1">
      <w:start w:val="1"/>
      <w:numFmt w:val="lowerRoman"/>
      <w:lvlText w:val="%3."/>
      <w:lvlJc w:val="right"/>
      <w:pPr>
        <w:ind w:left="2499" w:hanging="180"/>
      </w:pPr>
    </w:lvl>
    <w:lvl w:ilvl="3" w:tplc="0415000F" w:tentative="1">
      <w:start w:val="1"/>
      <w:numFmt w:val="decimal"/>
      <w:lvlText w:val="%4."/>
      <w:lvlJc w:val="left"/>
      <w:pPr>
        <w:ind w:left="3219" w:hanging="360"/>
      </w:pPr>
    </w:lvl>
    <w:lvl w:ilvl="4" w:tplc="04150019" w:tentative="1">
      <w:start w:val="1"/>
      <w:numFmt w:val="lowerLetter"/>
      <w:lvlText w:val="%5."/>
      <w:lvlJc w:val="left"/>
      <w:pPr>
        <w:ind w:left="3939" w:hanging="360"/>
      </w:pPr>
    </w:lvl>
    <w:lvl w:ilvl="5" w:tplc="0415001B" w:tentative="1">
      <w:start w:val="1"/>
      <w:numFmt w:val="lowerRoman"/>
      <w:lvlText w:val="%6."/>
      <w:lvlJc w:val="right"/>
      <w:pPr>
        <w:ind w:left="4659" w:hanging="180"/>
      </w:pPr>
    </w:lvl>
    <w:lvl w:ilvl="6" w:tplc="0415000F" w:tentative="1">
      <w:start w:val="1"/>
      <w:numFmt w:val="decimal"/>
      <w:lvlText w:val="%7."/>
      <w:lvlJc w:val="left"/>
      <w:pPr>
        <w:ind w:left="5379" w:hanging="360"/>
      </w:pPr>
    </w:lvl>
    <w:lvl w:ilvl="7" w:tplc="04150019" w:tentative="1">
      <w:start w:val="1"/>
      <w:numFmt w:val="lowerLetter"/>
      <w:lvlText w:val="%8."/>
      <w:lvlJc w:val="left"/>
      <w:pPr>
        <w:ind w:left="6099" w:hanging="360"/>
      </w:pPr>
    </w:lvl>
    <w:lvl w:ilvl="8" w:tplc="0415001B" w:tentative="1">
      <w:start w:val="1"/>
      <w:numFmt w:val="lowerRoman"/>
      <w:lvlText w:val="%9."/>
      <w:lvlJc w:val="right"/>
      <w:pPr>
        <w:ind w:left="6819" w:hanging="180"/>
      </w:pPr>
    </w:lvl>
  </w:abstractNum>
  <w:abstractNum w:abstractNumId="6" w15:restartNumberingAfterBreak="0">
    <w:nsid w:val="045618B4"/>
    <w:multiLevelType w:val="hybridMultilevel"/>
    <w:tmpl w:val="875E936C"/>
    <w:lvl w:ilvl="0" w:tplc="375ACB0E">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5117D8"/>
    <w:multiLevelType w:val="hybridMultilevel"/>
    <w:tmpl w:val="EC3EB782"/>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D30702"/>
    <w:multiLevelType w:val="hybridMultilevel"/>
    <w:tmpl w:val="08FE356E"/>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713D2E"/>
    <w:multiLevelType w:val="hybridMultilevel"/>
    <w:tmpl w:val="290C2E7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8129D9"/>
    <w:multiLevelType w:val="hybridMultilevel"/>
    <w:tmpl w:val="40F68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842A44"/>
    <w:multiLevelType w:val="hybridMultilevel"/>
    <w:tmpl w:val="290C2E7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345024"/>
    <w:multiLevelType w:val="hybridMultilevel"/>
    <w:tmpl w:val="6968505A"/>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843EF1"/>
    <w:multiLevelType w:val="hybridMultilevel"/>
    <w:tmpl w:val="EAD0C584"/>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483639"/>
    <w:multiLevelType w:val="hybridMultilevel"/>
    <w:tmpl w:val="1DA8F7F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C8B26F1"/>
    <w:multiLevelType w:val="hybridMultilevel"/>
    <w:tmpl w:val="32B0FCB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B8485F"/>
    <w:multiLevelType w:val="hybridMultilevel"/>
    <w:tmpl w:val="340AC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7267AB"/>
    <w:multiLevelType w:val="hybridMultilevel"/>
    <w:tmpl w:val="195433B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8A4C6B"/>
    <w:multiLevelType w:val="hybridMultilevel"/>
    <w:tmpl w:val="DEC259E4"/>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A7F7A2D"/>
    <w:multiLevelType w:val="hybridMultilevel"/>
    <w:tmpl w:val="7924CA3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2C8530D9"/>
    <w:multiLevelType w:val="hybridMultilevel"/>
    <w:tmpl w:val="7F0698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512686"/>
    <w:multiLevelType w:val="hybridMultilevel"/>
    <w:tmpl w:val="16AC4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F32C33"/>
    <w:multiLevelType w:val="hybridMultilevel"/>
    <w:tmpl w:val="2BD61DDE"/>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9573F8"/>
    <w:multiLevelType w:val="hybridMultilevel"/>
    <w:tmpl w:val="F3268778"/>
    <w:lvl w:ilvl="0" w:tplc="12F0F446">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F30A87"/>
    <w:multiLevelType w:val="hybridMultilevel"/>
    <w:tmpl w:val="FADC4E5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0D0152"/>
    <w:multiLevelType w:val="hybridMultilevel"/>
    <w:tmpl w:val="91C476FC"/>
    <w:lvl w:ilvl="0" w:tplc="04150011">
      <w:start w:val="1"/>
      <w:numFmt w:val="decimal"/>
      <w:lvlText w:val="%1)"/>
      <w:lvlJc w:val="left"/>
      <w:pPr>
        <w:ind w:left="1502" w:hanging="360"/>
      </w:pPr>
    </w:lvl>
    <w:lvl w:ilvl="1" w:tplc="04150019" w:tentative="1">
      <w:start w:val="1"/>
      <w:numFmt w:val="lowerLetter"/>
      <w:lvlText w:val="%2."/>
      <w:lvlJc w:val="left"/>
      <w:pPr>
        <w:ind w:left="2222" w:hanging="360"/>
      </w:pPr>
    </w:lvl>
    <w:lvl w:ilvl="2" w:tplc="0415001B" w:tentative="1">
      <w:start w:val="1"/>
      <w:numFmt w:val="lowerRoman"/>
      <w:lvlText w:val="%3."/>
      <w:lvlJc w:val="right"/>
      <w:pPr>
        <w:ind w:left="2942" w:hanging="180"/>
      </w:pPr>
    </w:lvl>
    <w:lvl w:ilvl="3" w:tplc="0415000F" w:tentative="1">
      <w:start w:val="1"/>
      <w:numFmt w:val="decimal"/>
      <w:lvlText w:val="%4."/>
      <w:lvlJc w:val="left"/>
      <w:pPr>
        <w:ind w:left="3662" w:hanging="360"/>
      </w:pPr>
    </w:lvl>
    <w:lvl w:ilvl="4" w:tplc="04150019" w:tentative="1">
      <w:start w:val="1"/>
      <w:numFmt w:val="lowerLetter"/>
      <w:lvlText w:val="%5."/>
      <w:lvlJc w:val="left"/>
      <w:pPr>
        <w:ind w:left="4382" w:hanging="360"/>
      </w:pPr>
    </w:lvl>
    <w:lvl w:ilvl="5" w:tplc="0415001B" w:tentative="1">
      <w:start w:val="1"/>
      <w:numFmt w:val="lowerRoman"/>
      <w:lvlText w:val="%6."/>
      <w:lvlJc w:val="right"/>
      <w:pPr>
        <w:ind w:left="5102" w:hanging="180"/>
      </w:pPr>
    </w:lvl>
    <w:lvl w:ilvl="6" w:tplc="0415000F" w:tentative="1">
      <w:start w:val="1"/>
      <w:numFmt w:val="decimal"/>
      <w:lvlText w:val="%7."/>
      <w:lvlJc w:val="left"/>
      <w:pPr>
        <w:ind w:left="5822" w:hanging="360"/>
      </w:pPr>
    </w:lvl>
    <w:lvl w:ilvl="7" w:tplc="04150019" w:tentative="1">
      <w:start w:val="1"/>
      <w:numFmt w:val="lowerLetter"/>
      <w:lvlText w:val="%8."/>
      <w:lvlJc w:val="left"/>
      <w:pPr>
        <w:ind w:left="6542" w:hanging="360"/>
      </w:pPr>
    </w:lvl>
    <w:lvl w:ilvl="8" w:tplc="0415001B" w:tentative="1">
      <w:start w:val="1"/>
      <w:numFmt w:val="lowerRoman"/>
      <w:lvlText w:val="%9."/>
      <w:lvlJc w:val="right"/>
      <w:pPr>
        <w:ind w:left="7262" w:hanging="180"/>
      </w:pPr>
    </w:lvl>
  </w:abstractNum>
  <w:abstractNum w:abstractNumId="26" w15:restartNumberingAfterBreak="0">
    <w:nsid w:val="43B959E7"/>
    <w:multiLevelType w:val="hybridMultilevel"/>
    <w:tmpl w:val="E5826DE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3F6669B"/>
    <w:multiLevelType w:val="hybridMultilevel"/>
    <w:tmpl w:val="24E6F086"/>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AE0CEA"/>
    <w:multiLevelType w:val="hybridMultilevel"/>
    <w:tmpl w:val="5E207D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420321"/>
    <w:multiLevelType w:val="hybridMultilevel"/>
    <w:tmpl w:val="A3AED2AA"/>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B9039F"/>
    <w:multiLevelType w:val="hybridMultilevel"/>
    <w:tmpl w:val="8162FD14"/>
    <w:lvl w:ilvl="0" w:tplc="9880E7A6">
      <w:start w:val="1"/>
      <w:numFmt w:val="decimal"/>
      <w:lvlText w:val="%1."/>
      <w:lvlJc w:val="left"/>
      <w:pPr>
        <w:ind w:left="720" w:hanging="360"/>
      </w:pPr>
      <w:rPr>
        <w:rFonts w:hint="default"/>
        <w:b w:val="0"/>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64E4114"/>
    <w:multiLevelType w:val="hybridMultilevel"/>
    <w:tmpl w:val="C41624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E43633"/>
    <w:multiLevelType w:val="hybridMultilevel"/>
    <w:tmpl w:val="23303D4C"/>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1F7DF4"/>
    <w:multiLevelType w:val="hybridMultilevel"/>
    <w:tmpl w:val="7A7A32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D86F50"/>
    <w:multiLevelType w:val="hybridMultilevel"/>
    <w:tmpl w:val="2B8CFC78"/>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35" w15:restartNumberingAfterBreak="0">
    <w:nsid w:val="75C67F52"/>
    <w:multiLevelType w:val="hybridMultilevel"/>
    <w:tmpl w:val="9E6C0CA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774795"/>
    <w:multiLevelType w:val="hybridMultilevel"/>
    <w:tmpl w:val="E39212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4483128">
    <w:abstractNumId w:val="25"/>
  </w:num>
  <w:num w:numId="2" w16cid:durableId="745108746">
    <w:abstractNumId w:val="31"/>
  </w:num>
  <w:num w:numId="3" w16cid:durableId="1348949302">
    <w:abstractNumId w:val="28"/>
  </w:num>
  <w:num w:numId="4" w16cid:durableId="1376075343">
    <w:abstractNumId w:val="19"/>
  </w:num>
  <w:num w:numId="5" w16cid:durableId="1375422443">
    <w:abstractNumId w:val="1"/>
  </w:num>
  <w:num w:numId="6" w16cid:durableId="135338742">
    <w:abstractNumId w:val="2"/>
  </w:num>
  <w:num w:numId="7" w16cid:durableId="1030569330">
    <w:abstractNumId w:val="4"/>
  </w:num>
  <w:num w:numId="8" w16cid:durableId="829298286">
    <w:abstractNumId w:val="20"/>
  </w:num>
  <w:num w:numId="9" w16cid:durableId="739139566">
    <w:abstractNumId w:val="22"/>
  </w:num>
  <w:num w:numId="10" w16cid:durableId="2064324295">
    <w:abstractNumId w:val="12"/>
  </w:num>
  <w:num w:numId="11" w16cid:durableId="1959529109">
    <w:abstractNumId w:val="24"/>
  </w:num>
  <w:num w:numId="12" w16cid:durableId="278950566">
    <w:abstractNumId w:val="15"/>
  </w:num>
  <w:num w:numId="13" w16cid:durableId="1563104933">
    <w:abstractNumId w:val="35"/>
  </w:num>
  <w:num w:numId="14" w16cid:durableId="92627675">
    <w:abstractNumId w:val="27"/>
  </w:num>
  <w:num w:numId="15" w16cid:durableId="938607028">
    <w:abstractNumId w:val="7"/>
  </w:num>
  <w:num w:numId="16" w16cid:durableId="1037512136">
    <w:abstractNumId w:val="13"/>
  </w:num>
  <w:num w:numId="17" w16cid:durableId="1577519067">
    <w:abstractNumId w:val="17"/>
  </w:num>
  <w:num w:numId="18" w16cid:durableId="1867786156">
    <w:abstractNumId w:val="18"/>
  </w:num>
  <w:num w:numId="19" w16cid:durableId="1962028860">
    <w:abstractNumId w:val="29"/>
  </w:num>
  <w:num w:numId="20" w16cid:durableId="1617367477">
    <w:abstractNumId w:val="8"/>
  </w:num>
  <w:num w:numId="21" w16cid:durableId="189615149">
    <w:abstractNumId w:val="32"/>
  </w:num>
  <w:num w:numId="22" w16cid:durableId="1261336640">
    <w:abstractNumId w:val="26"/>
  </w:num>
  <w:num w:numId="23" w16cid:durableId="481892519">
    <w:abstractNumId w:val="3"/>
  </w:num>
  <w:num w:numId="24" w16cid:durableId="694960092">
    <w:abstractNumId w:val="21"/>
  </w:num>
  <w:num w:numId="25" w16cid:durableId="1854028356">
    <w:abstractNumId w:val="36"/>
  </w:num>
  <w:num w:numId="26" w16cid:durableId="1626233269">
    <w:abstractNumId w:val="30"/>
  </w:num>
  <w:num w:numId="27" w16cid:durableId="391386538">
    <w:abstractNumId w:val="33"/>
  </w:num>
  <w:num w:numId="28" w16cid:durableId="1291863715">
    <w:abstractNumId w:val="16"/>
  </w:num>
  <w:num w:numId="29" w16cid:durableId="177669703">
    <w:abstractNumId w:val="10"/>
  </w:num>
  <w:num w:numId="30" w16cid:durableId="464354592">
    <w:abstractNumId w:val="23"/>
  </w:num>
  <w:num w:numId="31" w16cid:durableId="36198900">
    <w:abstractNumId w:val="34"/>
  </w:num>
  <w:num w:numId="32" w16cid:durableId="1065687566">
    <w:abstractNumId w:val="14"/>
  </w:num>
  <w:num w:numId="33" w16cid:durableId="676812774">
    <w:abstractNumId w:val="5"/>
  </w:num>
  <w:num w:numId="34" w16cid:durableId="1017852603">
    <w:abstractNumId w:val="11"/>
  </w:num>
  <w:num w:numId="35" w16cid:durableId="1721126754">
    <w:abstractNumId w:val="6"/>
  </w:num>
  <w:num w:numId="36" w16cid:durableId="1493644742">
    <w:abstractNumId w:val="9"/>
  </w:num>
  <w:num w:numId="37" w16cid:durableId="213786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19"/>
    <w:rsid w:val="000033C0"/>
    <w:rsid w:val="000A308C"/>
    <w:rsid w:val="000F2E23"/>
    <w:rsid w:val="0010163A"/>
    <w:rsid w:val="00115670"/>
    <w:rsid w:val="00153258"/>
    <w:rsid w:val="0019656D"/>
    <w:rsid w:val="001D5118"/>
    <w:rsid w:val="00270AC2"/>
    <w:rsid w:val="00282026"/>
    <w:rsid w:val="002D49B7"/>
    <w:rsid w:val="00335203"/>
    <w:rsid w:val="003D4102"/>
    <w:rsid w:val="003F2BA1"/>
    <w:rsid w:val="00420B93"/>
    <w:rsid w:val="004F491A"/>
    <w:rsid w:val="00505999"/>
    <w:rsid w:val="00525D19"/>
    <w:rsid w:val="005C0CA5"/>
    <w:rsid w:val="006A3F0E"/>
    <w:rsid w:val="006C1C30"/>
    <w:rsid w:val="007246D9"/>
    <w:rsid w:val="007A1433"/>
    <w:rsid w:val="008A3F50"/>
    <w:rsid w:val="008C1894"/>
    <w:rsid w:val="00965A2E"/>
    <w:rsid w:val="009A75F1"/>
    <w:rsid w:val="00B2008B"/>
    <w:rsid w:val="00B76E51"/>
    <w:rsid w:val="00BD1F36"/>
    <w:rsid w:val="00C5482D"/>
    <w:rsid w:val="00C84B95"/>
    <w:rsid w:val="00CA0462"/>
    <w:rsid w:val="00CA716F"/>
    <w:rsid w:val="00D7012B"/>
    <w:rsid w:val="00DF76C5"/>
    <w:rsid w:val="00E20E5F"/>
    <w:rsid w:val="00EF64E7"/>
    <w:rsid w:val="00F81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ABE4F"/>
  <w15:chartTrackingRefBased/>
  <w15:docId w15:val="{84279773-6DA9-4FEB-9C96-05B13FD3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D1F36"/>
    <w:pPr>
      <w:keepNext/>
      <w:keepLines/>
      <w:spacing w:before="360" w:after="80" w:line="288" w:lineRule="auto"/>
      <w:outlineLvl w:val="0"/>
    </w:pPr>
    <w:rPr>
      <w:rFonts w:ascii="Calibri" w:eastAsiaTheme="majorEastAsia" w:hAnsi="Calibri" w:cstheme="majorBidi"/>
      <w:b/>
      <w:color w:val="000000" w:themeColor="text1"/>
      <w:sz w:val="36"/>
      <w:szCs w:val="40"/>
    </w:rPr>
  </w:style>
  <w:style w:type="paragraph" w:styleId="Nagwek2">
    <w:name w:val="heading 2"/>
    <w:basedOn w:val="Normalny"/>
    <w:next w:val="Normalny"/>
    <w:link w:val="Nagwek2Znak"/>
    <w:uiPriority w:val="9"/>
    <w:unhideWhenUsed/>
    <w:qFormat/>
    <w:rsid w:val="00BD1F36"/>
    <w:pPr>
      <w:keepNext/>
      <w:keepLines/>
      <w:spacing w:before="160" w:after="80" w:line="288" w:lineRule="auto"/>
      <w:outlineLvl w:val="1"/>
    </w:pPr>
    <w:rPr>
      <w:rFonts w:ascii="Calibri" w:eastAsiaTheme="majorEastAsia" w:hAnsi="Calibri" w:cstheme="majorBidi"/>
      <w:sz w:val="32"/>
      <w:szCs w:val="32"/>
    </w:rPr>
  </w:style>
  <w:style w:type="paragraph" w:styleId="Nagwek3">
    <w:name w:val="heading 3"/>
    <w:basedOn w:val="Normalny"/>
    <w:next w:val="Normalny"/>
    <w:link w:val="Nagwek3Znak"/>
    <w:uiPriority w:val="9"/>
    <w:unhideWhenUsed/>
    <w:qFormat/>
    <w:rsid w:val="00BD1F36"/>
    <w:pPr>
      <w:keepNext/>
      <w:keepLines/>
      <w:spacing w:before="160" w:after="80" w:line="288" w:lineRule="auto"/>
      <w:outlineLvl w:val="2"/>
    </w:pPr>
    <w:rPr>
      <w:rFonts w:ascii="Calibri" w:eastAsiaTheme="majorEastAsia" w:hAnsi="Calibri" w:cstheme="majorBidi"/>
      <w:sz w:val="28"/>
      <w:szCs w:val="28"/>
    </w:rPr>
  </w:style>
  <w:style w:type="paragraph" w:styleId="Nagwek4">
    <w:name w:val="heading 4"/>
    <w:basedOn w:val="Normalny"/>
    <w:next w:val="Normalny"/>
    <w:link w:val="Nagwek4Znak"/>
    <w:uiPriority w:val="9"/>
    <w:semiHidden/>
    <w:unhideWhenUsed/>
    <w:rsid w:val="00BD1F36"/>
    <w:pPr>
      <w:keepNext/>
      <w:keepLines/>
      <w:spacing w:before="80" w:after="40" w:line="288" w:lineRule="auto"/>
      <w:outlineLvl w:val="3"/>
    </w:pPr>
    <w:rPr>
      <w:rFonts w:ascii="Calibri" w:eastAsiaTheme="majorEastAsia" w:hAnsi="Calibri"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1F36"/>
    <w:pPr>
      <w:keepNext/>
      <w:keepLines/>
      <w:spacing w:before="80" w:after="40" w:line="288" w:lineRule="auto"/>
      <w:outlineLvl w:val="4"/>
    </w:pPr>
    <w:rPr>
      <w:rFonts w:ascii="Calibri" w:eastAsiaTheme="majorEastAsia" w:hAnsi="Calibri" w:cstheme="majorBidi"/>
      <w:color w:val="2F5496" w:themeColor="accent1" w:themeShade="BF"/>
    </w:rPr>
  </w:style>
  <w:style w:type="paragraph" w:styleId="Nagwek6">
    <w:name w:val="heading 6"/>
    <w:basedOn w:val="Normalny"/>
    <w:next w:val="Normalny"/>
    <w:link w:val="Nagwek6Znak"/>
    <w:uiPriority w:val="9"/>
    <w:semiHidden/>
    <w:unhideWhenUsed/>
    <w:qFormat/>
    <w:rsid w:val="00BD1F36"/>
    <w:pPr>
      <w:keepNext/>
      <w:keepLines/>
      <w:spacing w:before="40" w:after="0" w:line="288" w:lineRule="auto"/>
      <w:outlineLvl w:val="5"/>
    </w:pPr>
    <w:rPr>
      <w:rFonts w:ascii="Calibri" w:eastAsiaTheme="majorEastAsia" w:hAnsi="Calibri" w:cstheme="majorBidi"/>
      <w:i/>
      <w:iCs/>
      <w:color w:val="595959" w:themeColor="text1" w:themeTint="A6"/>
    </w:rPr>
  </w:style>
  <w:style w:type="paragraph" w:styleId="Nagwek7">
    <w:name w:val="heading 7"/>
    <w:basedOn w:val="Normalny"/>
    <w:next w:val="Normalny"/>
    <w:link w:val="Nagwek7Znak"/>
    <w:uiPriority w:val="9"/>
    <w:semiHidden/>
    <w:unhideWhenUsed/>
    <w:qFormat/>
    <w:rsid w:val="00BD1F36"/>
    <w:pPr>
      <w:keepNext/>
      <w:keepLines/>
      <w:spacing w:before="40" w:after="0" w:line="288" w:lineRule="auto"/>
      <w:outlineLvl w:val="6"/>
    </w:pPr>
    <w:rPr>
      <w:rFonts w:ascii="Calibri" w:eastAsiaTheme="majorEastAsia" w:hAnsi="Calibri" w:cstheme="majorBidi"/>
      <w:color w:val="595959" w:themeColor="text1" w:themeTint="A6"/>
    </w:rPr>
  </w:style>
  <w:style w:type="paragraph" w:styleId="Nagwek8">
    <w:name w:val="heading 8"/>
    <w:basedOn w:val="Normalny"/>
    <w:next w:val="Normalny"/>
    <w:link w:val="Nagwek8Znak"/>
    <w:uiPriority w:val="9"/>
    <w:semiHidden/>
    <w:unhideWhenUsed/>
    <w:qFormat/>
    <w:rsid w:val="00BD1F36"/>
    <w:pPr>
      <w:keepNext/>
      <w:keepLines/>
      <w:spacing w:after="0" w:line="288" w:lineRule="auto"/>
      <w:outlineLvl w:val="7"/>
    </w:pPr>
    <w:rPr>
      <w:rFonts w:ascii="Calibri" w:eastAsiaTheme="majorEastAsia" w:hAnsi="Calibri" w:cstheme="majorBidi"/>
      <w:i/>
      <w:iCs/>
      <w:color w:val="272727" w:themeColor="text1" w:themeTint="D8"/>
    </w:rPr>
  </w:style>
  <w:style w:type="paragraph" w:styleId="Nagwek9">
    <w:name w:val="heading 9"/>
    <w:basedOn w:val="Normalny"/>
    <w:next w:val="Normalny"/>
    <w:link w:val="Nagwek9Znak"/>
    <w:uiPriority w:val="9"/>
    <w:semiHidden/>
    <w:unhideWhenUsed/>
    <w:qFormat/>
    <w:rsid w:val="00BD1F36"/>
    <w:pPr>
      <w:keepNext/>
      <w:keepLines/>
      <w:spacing w:after="0" w:line="288" w:lineRule="auto"/>
      <w:outlineLvl w:val="8"/>
    </w:pPr>
    <w:rPr>
      <w:rFonts w:ascii="Calibri" w:eastAsiaTheme="majorEastAsia" w:hAnsi="Calibr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25D19"/>
    <w:pPr>
      <w:widowControl w:val="0"/>
      <w:autoSpaceDE w:val="0"/>
      <w:autoSpaceDN w:val="0"/>
      <w:spacing w:before="120" w:after="0" w:line="240" w:lineRule="auto"/>
      <w:ind w:left="782" w:hanging="680"/>
      <w:jc w:val="both"/>
    </w:pPr>
    <w:rPr>
      <w:rFonts w:ascii="Times New Roman" w:eastAsia="Times New Roman" w:hAnsi="Times New Roman" w:cs="Times New Roman"/>
      <w:kern w:val="0"/>
      <w14:ligatures w14:val="none"/>
    </w:rPr>
  </w:style>
  <w:style w:type="paragraph" w:styleId="Bezodstpw">
    <w:name w:val="No Spacing"/>
    <w:uiPriority w:val="1"/>
    <w:qFormat/>
    <w:rsid w:val="00525D19"/>
    <w:pPr>
      <w:spacing w:after="0" w:line="240" w:lineRule="auto"/>
    </w:pPr>
  </w:style>
  <w:style w:type="character" w:customStyle="1" w:styleId="Nagwek1Znak">
    <w:name w:val="Nagłówek 1 Znak"/>
    <w:basedOn w:val="Domylnaczcionkaakapitu"/>
    <w:link w:val="Nagwek1"/>
    <w:uiPriority w:val="9"/>
    <w:rsid w:val="00BD1F36"/>
    <w:rPr>
      <w:rFonts w:ascii="Calibri" w:eastAsiaTheme="majorEastAsia" w:hAnsi="Calibri" w:cstheme="majorBidi"/>
      <w:b/>
      <w:color w:val="000000" w:themeColor="text1"/>
      <w:sz w:val="36"/>
      <w:szCs w:val="40"/>
    </w:rPr>
  </w:style>
  <w:style w:type="character" w:customStyle="1" w:styleId="Nagwek2Znak">
    <w:name w:val="Nagłówek 2 Znak"/>
    <w:basedOn w:val="Domylnaczcionkaakapitu"/>
    <w:link w:val="Nagwek2"/>
    <w:uiPriority w:val="9"/>
    <w:rsid w:val="00BD1F36"/>
    <w:rPr>
      <w:rFonts w:ascii="Calibri" w:eastAsiaTheme="majorEastAsia" w:hAnsi="Calibri" w:cstheme="majorBidi"/>
      <w:sz w:val="32"/>
      <w:szCs w:val="32"/>
    </w:rPr>
  </w:style>
  <w:style w:type="character" w:customStyle="1" w:styleId="Nagwek3Znak">
    <w:name w:val="Nagłówek 3 Znak"/>
    <w:basedOn w:val="Domylnaczcionkaakapitu"/>
    <w:link w:val="Nagwek3"/>
    <w:uiPriority w:val="9"/>
    <w:rsid w:val="00BD1F36"/>
    <w:rPr>
      <w:rFonts w:ascii="Calibri" w:eastAsiaTheme="majorEastAsia" w:hAnsi="Calibri" w:cstheme="majorBidi"/>
      <w:sz w:val="28"/>
      <w:szCs w:val="28"/>
    </w:rPr>
  </w:style>
  <w:style w:type="character" w:customStyle="1" w:styleId="Nagwek4Znak">
    <w:name w:val="Nagłówek 4 Znak"/>
    <w:basedOn w:val="Domylnaczcionkaakapitu"/>
    <w:link w:val="Nagwek4"/>
    <w:uiPriority w:val="9"/>
    <w:semiHidden/>
    <w:rsid w:val="00BD1F36"/>
    <w:rPr>
      <w:rFonts w:ascii="Calibri" w:eastAsiaTheme="majorEastAsia" w:hAnsi="Calibri" w:cstheme="majorBidi"/>
      <w:i/>
      <w:iCs/>
      <w:color w:val="2F5496" w:themeColor="accent1" w:themeShade="BF"/>
    </w:rPr>
  </w:style>
  <w:style w:type="character" w:customStyle="1" w:styleId="Nagwek5Znak">
    <w:name w:val="Nagłówek 5 Znak"/>
    <w:basedOn w:val="Domylnaczcionkaakapitu"/>
    <w:link w:val="Nagwek5"/>
    <w:uiPriority w:val="9"/>
    <w:semiHidden/>
    <w:rsid w:val="00BD1F36"/>
    <w:rPr>
      <w:rFonts w:ascii="Calibri" w:eastAsiaTheme="majorEastAsia" w:hAnsi="Calibri" w:cstheme="majorBidi"/>
      <w:color w:val="2F5496" w:themeColor="accent1" w:themeShade="BF"/>
    </w:rPr>
  </w:style>
  <w:style w:type="character" w:customStyle="1" w:styleId="Nagwek6Znak">
    <w:name w:val="Nagłówek 6 Znak"/>
    <w:basedOn w:val="Domylnaczcionkaakapitu"/>
    <w:link w:val="Nagwek6"/>
    <w:uiPriority w:val="9"/>
    <w:semiHidden/>
    <w:rsid w:val="00BD1F36"/>
    <w:rPr>
      <w:rFonts w:ascii="Calibri" w:eastAsiaTheme="majorEastAsia" w:hAnsi="Calibri" w:cstheme="majorBidi"/>
      <w:i/>
      <w:iCs/>
      <w:color w:val="595959" w:themeColor="text1" w:themeTint="A6"/>
    </w:rPr>
  </w:style>
  <w:style w:type="character" w:customStyle="1" w:styleId="Nagwek7Znak">
    <w:name w:val="Nagłówek 7 Znak"/>
    <w:basedOn w:val="Domylnaczcionkaakapitu"/>
    <w:link w:val="Nagwek7"/>
    <w:uiPriority w:val="9"/>
    <w:semiHidden/>
    <w:rsid w:val="00BD1F36"/>
    <w:rPr>
      <w:rFonts w:ascii="Calibri" w:eastAsiaTheme="majorEastAsia" w:hAnsi="Calibri" w:cstheme="majorBidi"/>
      <w:color w:val="595959" w:themeColor="text1" w:themeTint="A6"/>
    </w:rPr>
  </w:style>
  <w:style w:type="character" w:customStyle="1" w:styleId="Nagwek8Znak">
    <w:name w:val="Nagłówek 8 Znak"/>
    <w:basedOn w:val="Domylnaczcionkaakapitu"/>
    <w:link w:val="Nagwek8"/>
    <w:uiPriority w:val="9"/>
    <w:semiHidden/>
    <w:rsid w:val="00BD1F36"/>
    <w:rPr>
      <w:rFonts w:ascii="Calibri" w:eastAsiaTheme="majorEastAsia" w:hAnsi="Calibri" w:cstheme="majorBidi"/>
      <w:i/>
      <w:iCs/>
      <w:color w:val="272727" w:themeColor="text1" w:themeTint="D8"/>
    </w:rPr>
  </w:style>
  <w:style w:type="character" w:customStyle="1" w:styleId="Nagwek9Znak">
    <w:name w:val="Nagłówek 9 Znak"/>
    <w:basedOn w:val="Domylnaczcionkaakapitu"/>
    <w:link w:val="Nagwek9"/>
    <w:uiPriority w:val="9"/>
    <w:semiHidden/>
    <w:rsid w:val="00BD1F36"/>
    <w:rPr>
      <w:rFonts w:ascii="Calibri" w:eastAsiaTheme="majorEastAsia" w:hAnsi="Calibri" w:cstheme="majorBidi"/>
      <w:color w:val="272727" w:themeColor="text1" w:themeTint="D8"/>
    </w:rPr>
  </w:style>
  <w:style w:type="numbering" w:customStyle="1" w:styleId="Bezlisty1">
    <w:name w:val="Bez listy1"/>
    <w:next w:val="Bezlisty"/>
    <w:uiPriority w:val="99"/>
    <w:semiHidden/>
    <w:unhideWhenUsed/>
    <w:rsid w:val="00BD1F36"/>
  </w:style>
  <w:style w:type="paragraph" w:styleId="Tytu">
    <w:name w:val="Title"/>
    <w:basedOn w:val="Normalny"/>
    <w:next w:val="Normalny"/>
    <w:link w:val="TytuZnak"/>
    <w:uiPriority w:val="10"/>
    <w:qFormat/>
    <w:rsid w:val="00BD1F36"/>
    <w:pPr>
      <w:spacing w:after="80" w:line="240" w:lineRule="auto"/>
      <w:contextualSpacing/>
    </w:pPr>
    <w:rPr>
      <w:rFonts w:ascii="Calibri" w:eastAsiaTheme="majorEastAsia" w:hAnsi="Calibri" w:cstheme="majorBidi"/>
      <w:b/>
      <w:spacing w:val="-10"/>
      <w:kern w:val="28"/>
      <w:sz w:val="40"/>
      <w:szCs w:val="56"/>
    </w:rPr>
  </w:style>
  <w:style w:type="character" w:customStyle="1" w:styleId="TytuZnak">
    <w:name w:val="Tytuł Znak"/>
    <w:basedOn w:val="Domylnaczcionkaakapitu"/>
    <w:link w:val="Tytu"/>
    <w:uiPriority w:val="10"/>
    <w:rsid w:val="00BD1F36"/>
    <w:rPr>
      <w:rFonts w:ascii="Calibri" w:eastAsiaTheme="majorEastAsia" w:hAnsi="Calibri" w:cstheme="majorBidi"/>
      <w:b/>
      <w:spacing w:val="-10"/>
      <w:kern w:val="28"/>
      <w:sz w:val="40"/>
      <w:szCs w:val="56"/>
    </w:rPr>
  </w:style>
  <w:style w:type="paragraph" w:styleId="Podtytu">
    <w:name w:val="Subtitle"/>
    <w:basedOn w:val="Normalny"/>
    <w:next w:val="Normalny"/>
    <w:link w:val="PodtytuZnak"/>
    <w:uiPriority w:val="11"/>
    <w:qFormat/>
    <w:rsid w:val="00BD1F36"/>
    <w:pPr>
      <w:numPr>
        <w:ilvl w:val="1"/>
      </w:numPr>
      <w:spacing w:after="0" w:line="288" w:lineRule="auto"/>
    </w:pPr>
    <w:rPr>
      <w:rFonts w:ascii="Calibri" w:eastAsiaTheme="majorEastAsia" w:hAnsi="Calibr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1F36"/>
    <w:rPr>
      <w:rFonts w:ascii="Calibri" w:eastAsiaTheme="majorEastAsia" w:hAnsi="Calibri" w:cstheme="majorBidi"/>
      <w:color w:val="595959" w:themeColor="text1" w:themeTint="A6"/>
      <w:spacing w:val="15"/>
      <w:sz w:val="28"/>
      <w:szCs w:val="28"/>
    </w:rPr>
  </w:style>
  <w:style w:type="paragraph" w:styleId="Cytat">
    <w:name w:val="Quote"/>
    <w:basedOn w:val="Normalny"/>
    <w:next w:val="Normalny"/>
    <w:link w:val="CytatZnak"/>
    <w:uiPriority w:val="29"/>
    <w:qFormat/>
    <w:rsid w:val="00BD1F36"/>
    <w:pPr>
      <w:spacing w:before="160" w:after="0" w:line="288" w:lineRule="auto"/>
      <w:jc w:val="center"/>
    </w:pPr>
    <w:rPr>
      <w:rFonts w:ascii="Calibri" w:hAnsi="Calibri"/>
      <w:i/>
      <w:iCs/>
      <w:color w:val="404040" w:themeColor="text1" w:themeTint="BF"/>
    </w:rPr>
  </w:style>
  <w:style w:type="character" w:customStyle="1" w:styleId="CytatZnak">
    <w:name w:val="Cytat Znak"/>
    <w:basedOn w:val="Domylnaczcionkaakapitu"/>
    <w:link w:val="Cytat"/>
    <w:uiPriority w:val="29"/>
    <w:rsid w:val="00BD1F36"/>
    <w:rPr>
      <w:rFonts w:ascii="Calibri" w:hAnsi="Calibri"/>
      <w:i/>
      <w:iCs/>
      <w:color w:val="404040" w:themeColor="text1" w:themeTint="BF"/>
    </w:rPr>
  </w:style>
  <w:style w:type="character" w:styleId="Wyrnienieintensywne">
    <w:name w:val="Intense Emphasis"/>
    <w:basedOn w:val="Domylnaczcionkaakapitu"/>
    <w:uiPriority w:val="21"/>
    <w:qFormat/>
    <w:rsid w:val="00BD1F36"/>
    <w:rPr>
      <w:i/>
      <w:iCs/>
      <w:color w:val="2F5496" w:themeColor="accent1" w:themeShade="BF"/>
    </w:rPr>
  </w:style>
  <w:style w:type="paragraph" w:styleId="Cytatintensywny">
    <w:name w:val="Intense Quote"/>
    <w:basedOn w:val="Normalny"/>
    <w:next w:val="Normalny"/>
    <w:link w:val="CytatintensywnyZnak"/>
    <w:uiPriority w:val="30"/>
    <w:qFormat/>
    <w:rsid w:val="00BD1F36"/>
    <w:pPr>
      <w:pBdr>
        <w:top w:val="single" w:sz="4" w:space="10" w:color="2F5496" w:themeColor="accent1" w:themeShade="BF"/>
        <w:bottom w:val="single" w:sz="4" w:space="10" w:color="2F5496" w:themeColor="accent1" w:themeShade="BF"/>
      </w:pBdr>
      <w:spacing w:before="360" w:after="360" w:line="288" w:lineRule="auto"/>
      <w:ind w:left="864" w:right="864"/>
      <w:jc w:val="center"/>
    </w:pPr>
    <w:rPr>
      <w:rFonts w:ascii="Calibri" w:hAnsi="Calibri"/>
      <w:i/>
      <w:iCs/>
      <w:color w:val="2F5496" w:themeColor="accent1" w:themeShade="BF"/>
    </w:rPr>
  </w:style>
  <w:style w:type="character" w:customStyle="1" w:styleId="CytatintensywnyZnak">
    <w:name w:val="Cytat intensywny Znak"/>
    <w:basedOn w:val="Domylnaczcionkaakapitu"/>
    <w:link w:val="Cytatintensywny"/>
    <w:uiPriority w:val="30"/>
    <w:rsid w:val="00BD1F36"/>
    <w:rPr>
      <w:rFonts w:ascii="Calibri" w:hAnsi="Calibri"/>
      <w:i/>
      <w:iCs/>
      <w:color w:val="2F5496" w:themeColor="accent1" w:themeShade="BF"/>
    </w:rPr>
  </w:style>
  <w:style w:type="character" w:styleId="Odwoanieintensywne">
    <w:name w:val="Intense Reference"/>
    <w:basedOn w:val="Domylnaczcionkaakapitu"/>
    <w:uiPriority w:val="32"/>
    <w:qFormat/>
    <w:rsid w:val="00BD1F36"/>
    <w:rPr>
      <w:b/>
      <w:bCs/>
      <w:smallCaps/>
      <w:color w:val="2F5496" w:themeColor="accent1" w:themeShade="BF"/>
      <w:spacing w:val="5"/>
    </w:rPr>
  </w:style>
  <w:style w:type="character" w:styleId="Pogrubienie">
    <w:name w:val="Strong"/>
    <w:basedOn w:val="Domylnaczcionkaakapitu"/>
    <w:uiPriority w:val="22"/>
    <w:qFormat/>
    <w:rsid w:val="001965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148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4727</Words>
  <Characters>28362</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Specjalistyczny w Chorzowie Specjalistyczny w Chorzowie</dc:creator>
  <cp:keywords/>
  <dc:description/>
  <cp:lastModifiedBy>Szpital Specjalistyczny w Chorzowie Specjalistyczny w Chorzowie</cp:lastModifiedBy>
  <cp:revision>3</cp:revision>
  <cp:lastPrinted>2024-11-05T12:12:00Z</cp:lastPrinted>
  <dcterms:created xsi:type="dcterms:W3CDTF">2024-11-05T12:12:00Z</dcterms:created>
  <dcterms:modified xsi:type="dcterms:W3CDTF">2024-11-05T12:25:00Z</dcterms:modified>
</cp:coreProperties>
</file>