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C223DD" w14:textId="12C486E5" w:rsidR="0065027C" w:rsidRDefault="0065027C" w:rsidP="0065027C">
      <w:pPr>
        <w:pStyle w:val="Nagwek1"/>
        <w:jc w:val="center"/>
        <w:rPr>
          <w:rFonts w:ascii="Arial" w:hAnsi="Arial" w:cs="Arial"/>
          <w:b/>
          <w:color w:val="auto"/>
        </w:rPr>
      </w:pPr>
      <w:r w:rsidRPr="0065027C">
        <w:rPr>
          <w:rFonts w:ascii="Arial" w:hAnsi="Arial" w:cs="Arial"/>
          <w:b/>
          <w:color w:val="auto"/>
        </w:rPr>
        <w:t xml:space="preserve">Opis przedmiotu zamówienia – zadanie nr 3 </w:t>
      </w:r>
    </w:p>
    <w:p w14:paraId="267C2381" w14:textId="77777777" w:rsidR="0065027C" w:rsidRPr="0065027C" w:rsidRDefault="0065027C" w:rsidP="0065027C"/>
    <w:p w14:paraId="2E956DD3" w14:textId="031B787A" w:rsidR="00DA3A25" w:rsidRDefault="00816FFD" w:rsidP="005C4631">
      <w:pPr>
        <w:pStyle w:val="Nagwek2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5C4631">
        <w:rPr>
          <w:rFonts w:ascii="Arial" w:hAnsi="Arial" w:cs="Arial"/>
          <w:b/>
          <w:color w:val="auto"/>
          <w:sz w:val="28"/>
          <w:szCs w:val="28"/>
        </w:rPr>
        <w:t>Stanowisko</w:t>
      </w:r>
      <w:r w:rsidR="00DA3A25" w:rsidRPr="005C4631">
        <w:rPr>
          <w:rFonts w:ascii="Arial" w:hAnsi="Arial" w:cs="Arial"/>
          <w:b/>
          <w:color w:val="auto"/>
          <w:sz w:val="28"/>
          <w:szCs w:val="28"/>
        </w:rPr>
        <w:t xml:space="preserve"> komputerowe – 40 sztuk</w:t>
      </w:r>
    </w:p>
    <w:p w14:paraId="4FE990E0" w14:textId="77777777" w:rsidR="005C4631" w:rsidRPr="005C4631" w:rsidRDefault="005C4631" w:rsidP="005C4631"/>
    <w:p w14:paraId="3C13F5D5" w14:textId="77777777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Specyfikacja techniczna</w:t>
      </w:r>
    </w:p>
    <w:p w14:paraId="64CAB3B5" w14:textId="6D3E44EF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Typ</w:t>
      </w:r>
      <w:r>
        <w:rPr>
          <w:rFonts w:ascii="Arial" w:hAnsi="Arial" w:cs="Arial"/>
          <w:sz w:val="24"/>
          <w:szCs w:val="24"/>
        </w:rPr>
        <w:t>:</w:t>
      </w:r>
      <w:r w:rsidRPr="00AA78EB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A78EB">
        <w:rPr>
          <w:rFonts w:ascii="Arial" w:hAnsi="Arial" w:cs="Arial"/>
          <w:sz w:val="24"/>
          <w:szCs w:val="24"/>
        </w:rPr>
        <w:t>Stanowisko komputerowe, składające się z biurka komputerowego i krzesła obrotowego</w:t>
      </w:r>
    </w:p>
    <w:p w14:paraId="4F5D23F5" w14:textId="08E7796B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Dostawa</w:t>
      </w:r>
      <w:r>
        <w:rPr>
          <w:rFonts w:ascii="Arial" w:hAnsi="Arial" w:cs="Arial"/>
          <w:sz w:val="24"/>
          <w:szCs w:val="24"/>
        </w:rPr>
        <w:t>:</w:t>
      </w:r>
      <w:r w:rsidRPr="00AA78EB">
        <w:rPr>
          <w:rFonts w:ascii="Arial" w:hAnsi="Arial" w:cs="Arial"/>
          <w:sz w:val="24"/>
          <w:szCs w:val="24"/>
        </w:rPr>
        <w:tab/>
        <w:t>Wraz z dostawą</w:t>
      </w:r>
    </w:p>
    <w:p w14:paraId="43395BD9" w14:textId="3329A343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Gwarancja</w:t>
      </w:r>
      <w:r>
        <w:rPr>
          <w:rFonts w:ascii="Arial" w:hAnsi="Arial" w:cs="Arial"/>
          <w:sz w:val="24"/>
          <w:szCs w:val="24"/>
        </w:rPr>
        <w:t>:</w:t>
      </w:r>
      <w:r w:rsidRPr="00AA78EB">
        <w:rPr>
          <w:rFonts w:ascii="Arial" w:hAnsi="Arial" w:cs="Arial"/>
          <w:sz w:val="24"/>
          <w:szCs w:val="24"/>
        </w:rPr>
        <w:tab/>
      </w:r>
      <w:r w:rsidRPr="0065027C">
        <w:rPr>
          <w:rFonts w:ascii="Arial" w:hAnsi="Arial" w:cs="Arial"/>
          <w:b/>
          <w:sz w:val="24"/>
          <w:szCs w:val="24"/>
        </w:rPr>
        <w:t>Minimum 2 lata na zestaw</w:t>
      </w:r>
    </w:p>
    <w:p w14:paraId="3D70DE46" w14:textId="676AACD9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C17AE4">
        <w:rPr>
          <w:rFonts w:ascii="Arial" w:hAnsi="Arial" w:cs="Arial"/>
          <w:b/>
          <w:sz w:val="24"/>
          <w:szCs w:val="24"/>
        </w:rPr>
        <w:t>Biurko komputerowe</w:t>
      </w:r>
      <w:r>
        <w:rPr>
          <w:rFonts w:ascii="Arial" w:hAnsi="Arial" w:cs="Arial"/>
          <w:sz w:val="24"/>
          <w:szCs w:val="24"/>
        </w:rPr>
        <w:t>, poniżej r</w:t>
      </w:r>
      <w:r w:rsidRPr="00AA78EB">
        <w:rPr>
          <w:rFonts w:ascii="Arial" w:hAnsi="Arial" w:cs="Arial"/>
          <w:sz w:val="24"/>
          <w:szCs w:val="24"/>
        </w:rPr>
        <w:t>ysunki poglądowe</w:t>
      </w:r>
      <w:r w:rsidRPr="00AA78EB">
        <w:rPr>
          <w:rFonts w:ascii="Arial" w:hAnsi="Arial" w:cs="Arial"/>
          <w:sz w:val="24"/>
          <w:szCs w:val="24"/>
        </w:rPr>
        <w:tab/>
        <w:t xml:space="preserve">               </w:t>
      </w:r>
    </w:p>
    <w:p w14:paraId="099FCDF5" w14:textId="76BF5286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bCs/>
          <w:noProof/>
          <w:sz w:val="24"/>
          <w:szCs w:val="24"/>
          <w:lang w:eastAsia="pl-PL"/>
        </w:rPr>
        <w:drawing>
          <wp:inline distT="0" distB="0" distL="0" distR="0" wp14:anchorId="3C3D0992" wp14:editId="0CA4FA69">
            <wp:extent cx="2891541" cy="2314575"/>
            <wp:effectExtent l="0" t="0" r="444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5" t="20965" r="12812" b="21630"/>
                    <a:stretch/>
                  </pic:blipFill>
                  <pic:spPr bwMode="auto">
                    <a:xfrm>
                      <a:off x="0" y="0"/>
                      <a:ext cx="2902747" cy="232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AA78EB">
        <w:rPr>
          <w:rFonts w:ascii="Arial" w:hAnsi="Arial" w:cs="Arial"/>
          <w:sz w:val="24"/>
          <w:szCs w:val="24"/>
        </w:rPr>
        <w:tab/>
      </w:r>
    </w:p>
    <w:p w14:paraId="4D075E36" w14:textId="77777777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</w:p>
    <w:p w14:paraId="091A53C8" w14:textId="77777777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Rys. A</w:t>
      </w:r>
      <w:r w:rsidRPr="00AA78EB">
        <w:rPr>
          <w:rFonts w:ascii="Arial" w:hAnsi="Arial" w:cs="Arial"/>
          <w:sz w:val="24"/>
          <w:szCs w:val="24"/>
        </w:rPr>
        <w:tab/>
      </w:r>
    </w:p>
    <w:p w14:paraId="35ADA2BE" w14:textId="3FD7A0F0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bCs/>
          <w:noProof/>
          <w:sz w:val="24"/>
          <w:szCs w:val="24"/>
          <w:lang w:eastAsia="pl-PL"/>
        </w:rPr>
        <w:lastRenderedPageBreak/>
        <w:drawing>
          <wp:inline distT="0" distB="0" distL="0" distR="0" wp14:anchorId="62A28AE2" wp14:editId="10B6F5E4">
            <wp:extent cx="2069841" cy="2305050"/>
            <wp:effectExtent l="0" t="0" r="0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579999" name=""/>
                    <pic:cNvPicPr/>
                  </pic:nvPicPr>
                  <pic:blipFill>
                    <a:blip r:embed="rId9">
                      <a:clrChange>
                        <a:clrFrom>
                          <a:srgbClr val="EBEADB"/>
                        </a:clrFrom>
                        <a:clrTo>
                          <a:srgbClr val="EBEADB"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0434" cy="2316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0C08F5" w14:textId="6621B1C4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Rys. B</w:t>
      </w:r>
    </w:p>
    <w:p w14:paraId="6E811117" w14:textId="31D8B3DF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 xml:space="preserve">      </w:t>
      </w:r>
      <w:r w:rsidRPr="00AA78E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1794E3F" wp14:editId="05BBB7BC">
            <wp:extent cx="1890987" cy="1295400"/>
            <wp:effectExtent l="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101957" name="Obraz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262" cy="13003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A78EB">
        <w:rPr>
          <w:rFonts w:ascii="Arial" w:hAnsi="Arial" w:cs="Arial"/>
          <w:sz w:val="24"/>
          <w:szCs w:val="24"/>
        </w:rPr>
        <w:t xml:space="preserve">       </w:t>
      </w:r>
    </w:p>
    <w:p w14:paraId="18D4B1C6" w14:textId="77777777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</w:p>
    <w:p w14:paraId="27060D59" w14:textId="77777777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ab/>
        <w:t>Rys. C</w:t>
      </w:r>
      <w:r w:rsidRPr="00AA78EB">
        <w:rPr>
          <w:rFonts w:ascii="Arial" w:hAnsi="Arial" w:cs="Arial"/>
          <w:sz w:val="24"/>
          <w:szCs w:val="24"/>
        </w:rPr>
        <w:tab/>
      </w:r>
    </w:p>
    <w:p w14:paraId="234FA2D5" w14:textId="3CE54C0D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bCs/>
          <w:noProof/>
          <w:sz w:val="24"/>
          <w:szCs w:val="24"/>
          <w:lang w:eastAsia="pl-PL"/>
        </w:rPr>
        <w:drawing>
          <wp:inline distT="0" distB="0" distL="0" distR="0" wp14:anchorId="43A36291" wp14:editId="6E093854">
            <wp:extent cx="1600264" cy="3009900"/>
            <wp:effectExtent l="0" t="0" r="0" b="0"/>
            <wp:docPr id="5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67049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607930" cy="30243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149D5" w14:textId="77777777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</w:p>
    <w:p w14:paraId="76B95D55" w14:textId="77777777" w:rsid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</w:p>
    <w:p w14:paraId="599DDFFE" w14:textId="63BA220E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Rys. D</w:t>
      </w:r>
    </w:p>
    <w:p w14:paraId="19A3EC0C" w14:textId="3D911E61" w:rsidR="00AA78EB" w:rsidRPr="00C17AE4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C17AE4">
        <w:rPr>
          <w:rFonts w:ascii="Arial" w:hAnsi="Arial" w:cs="Arial"/>
          <w:sz w:val="24"/>
          <w:szCs w:val="24"/>
        </w:rPr>
        <w:lastRenderedPageBreak/>
        <w:t>Biur</w:t>
      </w:r>
      <w:r w:rsidR="00C17AE4" w:rsidRPr="00C17AE4">
        <w:rPr>
          <w:rFonts w:ascii="Arial" w:hAnsi="Arial" w:cs="Arial"/>
          <w:sz w:val="24"/>
          <w:szCs w:val="24"/>
        </w:rPr>
        <w:t>ko</w:t>
      </w:r>
      <w:r w:rsidRPr="00C17AE4">
        <w:rPr>
          <w:rFonts w:ascii="Arial" w:hAnsi="Arial" w:cs="Arial"/>
          <w:sz w:val="24"/>
          <w:szCs w:val="24"/>
        </w:rPr>
        <w:tab/>
      </w:r>
    </w:p>
    <w:p w14:paraId="18A6F595" w14:textId="222B5594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</w:t>
      </w:r>
      <w:r w:rsidR="00AA78EB" w:rsidRPr="00AA78EB">
        <w:rPr>
          <w:rFonts w:ascii="Arial" w:hAnsi="Arial" w:cs="Arial"/>
          <w:sz w:val="24"/>
          <w:szCs w:val="24"/>
        </w:rPr>
        <w:t>Wymiary (</w:t>
      </w:r>
      <w:proofErr w:type="spellStart"/>
      <w:r w:rsidR="00AA78EB" w:rsidRPr="00AA78EB">
        <w:rPr>
          <w:rFonts w:ascii="Arial" w:hAnsi="Arial" w:cs="Arial"/>
          <w:sz w:val="24"/>
          <w:szCs w:val="24"/>
        </w:rPr>
        <w:t>sz</w:t>
      </w:r>
      <w:proofErr w:type="spellEnd"/>
      <w:r w:rsidR="00AA78EB" w:rsidRPr="00AA78EB">
        <w:rPr>
          <w:rFonts w:ascii="Arial" w:hAnsi="Arial" w:cs="Arial"/>
          <w:sz w:val="24"/>
          <w:szCs w:val="24"/>
        </w:rPr>
        <w:t xml:space="preserve"> x </w:t>
      </w:r>
      <w:proofErr w:type="spellStart"/>
      <w:r w:rsidR="00AA78EB" w:rsidRPr="00AA78EB">
        <w:rPr>
          <w:rFonts w:ascii="Arial" w:hAnsi="Arial" w:cs="Arial"/>
          <w:sz w:val="24"/>
          <w:szCs w:val="24"/>
        </w:rPr>
        <w:t>gł</w:t>
      </w:r>
      <w:proofErr w:type="spellEnd"/>
      <w:r w:rsidR="00AA78EB" w:rsidRPr="00AA78EB">
        <w:rPr>
          <w:rFonts w:ascii="Arial" w:hAnsi="Arial" w:cs="Arial"/>
          <w:sz w:val="24"/>
          <w:szCs w:val="24"/>
        </w:rPr>
        <w:t xml:space="preserve"> x wy): 800mm x 600mm x 715-730mm</w:t>
      </w:r>
    </w:p>
    <w:p w14:paraId="14AADF4B" w14:textId="63727939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Wyposażone w mechanizmy umożliwiające łączenie biurek w szeregu (krótszymi bokami) bez konieczności korzystania z narzędzi (przykładowy widok elementu złącznego na Rys. D), po dwa mechanizmy na każdy</w:t>
      </w:r>
      <w:r>
        <w:rPr>
          <w:rFonts w:ascii="Arial" w:hAnsi="Arial" w:cs="Arial"/>
          <w:sz w:val="24"/>
          <w:szCs w:val="24"/>
        </w:rPr>
        <w:t>m krótszym boku biurka</w:t>
      </w:r>
    </w:p>
    <w:p w14:paraId="7A44EC13" w14:textId="77777777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Stelaż – nogi</w:t>
      </w:r>
    </w:p>
    <w:p w14:paraId="41219F12" w14:textId="11C92D57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Typ płoza asymetryczna (widok poglądowy na Rys. B)</w:t>
      </w:r>
    </w:p>
    <w:p w14:paraId="41E04D48" w14:textId="1A92C278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Wykonane z metalu</w:t>
      </w:r>
    </w:p>
    <w:p w14:paraId="55019188" w14:textId="11E1CC68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Malowane proszkowo w kolorze czarnym lub ciemnoszarym (np. antracyt)</w:t>
      </w:r>
    </w:p>
    <w:p w14:paraId="3838E819" w14:textId="798B3EC9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W elementach pionowych stelaża przepusty kablowe wyposażone w zdejmowane osłony, umożliwiające poprowadzenie pionowe najmniej dwóch przewodów zasilających (dla komputera i monitora) oraz kabla sieci LAN (skrętka)</w:t>
      </w:r>
    </w:p>
    <w:p w14:paraId="7A2CCAD0" w14:textId="53904294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Przepusty kablowe pionowe w stelażu z osłonami zlokalizowanymi od wewnątrz biurka</w:t>
      </w:r>
    </w:p>
    <w:p w14:paraId="236D958F" w14:textId="15ED928A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Nogi stelaża łączone przepustem kablowym umożliwiającym ułożenie zasilacza komputerowego o wymiarach 160mm x 80mm x 30mm, zapewniającym wentylację naturalną dla zasilacza komputerowego</w:t>
      </w:r>
    </w:p>
    <w:p w14:paraId="3E0F5C80" w14:textId="10443027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Stelaż zapewniający możliwość regulacji wysokości biurka w zakresie co najmniej od 715 do 730 mm</w:t>
      </w:r>
    </w:p>
    <w:p w14:paraId="6BE51F67" w14:textId="77777777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Blat</w:t>
      </w:r>
    </w:p>
    <w:p w14:paraId="4FF2B65E" w14:textId="4E5F06BC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Wykonany z płyty 18 mm oklejony obrzeżem PCV 2 mm</w:t>
      </w:r>
    </w:p>
    <w:p w14:paraId="32A6BD1E" w14:textId="7A9435DB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Płyta dwustronnie laminowana na bazie 3-warstwowej płyt</w:t>
      </w:r>
      <w:r>
        <w:rPr>
          <w:rFonts w:ascii="Arial" w:hAnsi="Arial" w:cs="Arial"/>
          <w:sz w:val="24"/>
          <w:szCs w:val="24"/>
        </w:rPr>
        <w:t xml:space="preserve">y wiórowej w klasie higieny E-1 o </w:t>
      </w:r>
      <w:r w:rsidR="00AA78EB" w:rsidRPr="00AA78EB">
        <w:rPr>
          <w:rFonts w:ascii="Arial" w:hAnsi="Arial" w:cs="Arial"/>
          <w:sz w:val="24"/>
          <w:szCs w:val="24"/>
        </w:rPr>
        <w:t>wymiarach (</w:t>
      </w:r>
      <w:proofErr w:type="spellStart"/>
      <w:r w:rsidR="00AA78EB" w:rsidRPr="00AA78EB">
        <w:rPr>
          <w:rFonts w:ascii="Arial" w:hAnsi="Arial" w:cs="Arial"/>
          <w:sz w:val="24"/>
          <w:szCs w:val="24"/>
        </w:rPr>
        <w:t>sz</w:t>
      </w:r>
      <w:proofErr w:type="spellEnd"/>
      <w:r w:rsidR="00AA78EB" w:rsidRPr="00AA78EB">
        <w:rPr>
          <w:rFonts w:ascii="Arial" w:hAnsi="Arial" w:cs="Arial"/>
          <w:sz w:val="24"/>
          <w:szCs w:val="24"/>
        </w:rPr>
        <w:t xml:space="preserve"> x </w:t>
      </w:r>
      <w:proofErr w:type="spellStart"/>
      <w:r w:rsidR="00AA78EB" w:rsidRPr="00AA78EB">
        <w:rPr>
          <w:rFonts w:ascii="Arial" w:hAnsi="Arial" w:cs="Arial"/>
          <w:sz w:val="24"/>
          <w:szCs w:val="24"/>
        </w:rPr>
        <w:t>gł</w:t>
      </w:r>
      <w:proofErr w:type="spellEnd"/>
      <w:r w:rsidR="00AA78EB" w:rsidRPr="00AA78EB">
        <w:rPr>
          <w:rFonts w:ascii="Arial" w:hAnsi="Arial" w:cs="Arial"/>
          <w:sz w:val="24"/>
          <w:szCs w:val="24"/>
        </w:rPr>
        <w:t>) 800x600 mm</w:t>
      </w:r>
    </w:p>
    <w:p w14:paraId="41B204BC" w14:textId="0FB8725D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Laminat blatu przypominający jasne drewno np. dąb jasny, sosna, akacja (widok poglądowy na Rys. A)</w:t>
      </w:r>
    </w:p>
    <w:p w14:paraId="0DE3FEE6" w14:textId="47BB3107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W blacie dwa przepusty kablowe zlokalizowane w lewym i prawym górnym rogu od strony siedzącego wyposażone w zaślepki okrągłe lub prostokątne (widok poglądowy na Rys. C) umożliwiające zasłonięcie przepustu i dostosowane kolorystycznie do wz</w:t>
      </w:r>
      <w:r>
        <w:rPr>
          <w:rFonts w:ascii="Arial" w:hAnsi="Arial" w:cs="Arial"/>
          <w:sz w:val="24"/>
          <w:szCs w:val="24"/>
        </w:rPr>
        <w:t>oru laminatu lub koloru stelaża</w:t>
      </w:r>
    </w:p>
    <w:p w14:paraId="7EB67466" w14:textId="77777777" w:rsidR="00AA78EB" w:rsidRPr="00C17AE4" w:rsidRDefault="00AA78EB" w:rsidP="0065027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17AE4">
        <w:rPr>
          <w:rFonts w:ascii="Arial" w:hAnsi="Arial" w:cs="Arial"/>
          <w:b/>
          <w:sz w:val="24"/>
          <w:szCs w:val="24"/>
        </w:rPr>
        <w:t>Krzesło obrotowe</w:t>
      </w:r>
    </w:p>
    <w:p w14:paraId="389C6BC2" w14:textId="77777777" w:rsidR="00AA78EB" w:rsidRPr="00AA78EB" w:rsidRDefault="00AA78EB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sz w:val="24"/>
          <w:szCs w:val="24"/>
        </w:rPr>
        <w:t>Rysunek poglądowy</w:t>
      </w:r>
      <w:r w:rsidRPr="00AA78EB">
        <w:rPr>
          <w:rFonts w:ascii="Arial" w:hAnsi="Arial" w:cs="Arial"/>
          <w:sz w:val="24"/>
          <w:szCs w:val="24"/>
        </w:rPr>
        <w:tab/>
        <w:t xml:space="preserve"> </w:t>
      </w:r>
    </w:p>
    <w:p w14:paraId="63DED14F" w14:textId="50B2D2D0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 w:rsidRPr="00AA78EB">
        <w:rPr>
          <w:rFonts w:ascii="Arial" w:hAnsi="Arial" w:cs="Arial"/>
          <w:bCs/>
          <w:noProof/>
          <w:sz w:val="24"/>
          <w:szCs w:val="24"/>
          <w:lang w:eastAsia="pl-PL"/>
        </w:rPr>
        <w:drawing>
          <wp:inline distT="0" distB="0" distL="0" distR="0" wp14:anchorId="774E4D86" wp14:editId="12011753">
            <wp:extent cx="1896199" cy="3019425"/>
            <wp:effectExtent l="0" t="0" r="8890" b="0"/>
            <wp:docPr id="6" name="Obraz 3" descr="Obraz zawierający meble, krzesł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480225" name="Obraz 3" descr="Obraz zawierający meble, krzesł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9203" cy="30242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10A9C0" w14:textId="29039940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Siedzisko z miękkiego poliuretanu (p</w:t>
      </w:r>
      <w:r>
        <w:rPr>
          <w:rFonts w:ascii="Arial" w:hAnsi="Arial" w:cs="Arial"/>
          <w:sz w:val="24"/>
          <w:szCs w:val="24"/>
        </w:rPr>
        <w:t>ianka PU), łatwe w czyszczeniu</w:t>
      </w:r>
    </w:p>
    <w:p w14:paraId="784D13B9" w14:textId="6FAB21C9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Materiał siedziska i oparcia odporny na płyny dezynfekujące, środki chemiczne, uszkodzenia mechaniczne</w:t>
      </w:r>
    </w:p>
    <w:p w14:paraId="3FFA8C7B" w14:textId="4333DFFC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Materiał siedziska i oparcia w odcieniach ciemnej szarości lub czerni</w:t>
      </w:r>
    </w:p>
    <w:p w14:paraId="09EC104C" w14:textId="1A4C8574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Mechanizm regulacji typu CPT</w:t>
      </w:r>
    </w:p>
    <w:p w14:paraId="4039DD45" w14:textId="2B6C19DA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Podstawa krzesła wykonana z wytrzymałego tworzywa sztucznego (np. poliamid)</w:t>
      </w:r>
    </w:p>
    <w:p w14:paraId="06EA799C" w14:textId="26FAF04F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Podstawa krzesła w odcieniach ciemnej szarości lub czerni</w:t>
      </w:r>
    </w:p>
    <w:p w14:paraId="6C480B78" w14:textId="2B755C78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Regulacja wysokości siedziska za pomocą podnośnika pneumatycznego</w:t>
      </w:r>
    </w:p>
    <w:p w14:paraId="06528F0E" w14:textId="459F953B" w:rsidR="00AA78EB" w:rsidRP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Zakres regulacji wysokości sied</w:t>
      </w:r>
      <w:r>
        <w:rPr>
          <w:rFonts w:ascii="Arial" w:hAnsi="Arial" w:cs="Arial"/>
          <w:sz w:val="24"/>
          <w:szCs w:val="24"/>
        </w:rPr>
        <w:t>ziska co najmniej: 440 - 580 mm (</w:t>
      </w:r>
      <w:r w:rsidR="00AA78EB" w:rsidRPr="00AA78EB">
        <w:rPr>
          <w:rFonts w:ascii="Arial" w:hAnsi="Arial" w:cs="Arial"/>
          <w:sz w:val="24"/>
          <w:szCs w:val="24"/>
        </w:rPr>
        <w:t>regulowana głębokość siedziska</w:t>
      </w:r>
      <w:r>
        <w:rPr>
          <w:rFonts w:ascii="Arial" w:hAnsi="Arial" w:cs="Arial"/>
          <w:sz w:val="24"/>
          <w:szCs w:val="24"/>
        </w:rPr>
        <w:t>, r</w:t>
      </w:r>
      <w:r w:rsidR="00AA78EB" w:rsidRPr="00AA78EB">
        <w:rPr>
          <w:rFonts w:ascii="Arial" w:hAnsi="Arial" w:cs="Arial"/>
          <w:sz w:val="24"/>
          <w:szCs w:val="24"/>
        </w:rPr>
        <w:t>egulowana wysokość oparcia</w:t>
      </w:r>
      <w:r>
        <w:rPr>
          <w:rFonts w:ascii="Arial" w:hAnsi="Arial" w:cs="Arial"/>
          <w:sz w:val="24"/>
          <w:szCs w:val="24"/>
        </w:rPr>
        <w:t xml:space="preserve">, </w:t>
      </w:r>
      <w:r w:rsidR="00AA78EB" w:rsidRPr="00AA78EB">
        <w:rPr>
          <w:rFonts w:ascii="Arial" w:hAnsi="Arial" w:cs="Arial"/>
          <w:sz w:val="24"/>
          <w:szCs w:val="24"/>
        </w:rPr>
        <w:t>obrotowe</w:t>
      </w:r>
    </w:p>
    <w:p w14:paraId="2846BF90" w14:textId="7ED0BD67" w:rsidR="00AA78EB" w:rsidRDefault="0084639A" w:rsidP="0065027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="00AA78EB" w:rsidRPr="00AA78EB">
        <w:rPr>
          <w:rFonts w:ascii="Arial" w:hAnsi="Arial" w:cs="Arial"/>
          <w:sz w:val="24"/>
          <w:szCs w:val="24"/>
        </w:rPr>
        <w:t>Podstawa krzesła wyposażona w miękkie kółka, ograniczające zużycie powierzchni twardych (parkiet, panele, terakota)</w:t>
      </w:r>
    </w:p>
    <w:p w14:paraId="28FF0930" w14:textId="5B103826" w:rsidR="005C4631" w:rsidRDefault="005C4631" w:rsidP="0065027C">
      <w:pPr>
        <w:spacing w:line="360" w:lineRule="auto"/>
        <w:rPr>
          <w:rFonts w:ascii="Arial" w:hAnsi="Arial" w:cs="Arial"/>
          <w:sz w:val="24"/>
          <w:szCs w:val="24"/>
        </w:rPr>
      </w:pPr>
    </w:p>
    <w:p w14:paraId="2D12029B" w14:textId="15F99A8E" w:rsidR="005C4631" w:rsidRDefault="005C4631" w:rsidP="005C4631">
      <w:pPr>
        <w:pStyle w:val="Nagwek2"/>
        <w:spacing w:line="360" w:lineRule="auto"/>
        <w:jc w:val="center"/>
        <w:rPr>
          <w:rFonts w:ascii="Arial" w:hAnsi="Arial" w:cs="Arial"/>
          <w:b/>
          <w:color w:val="auto"/>
          <w:sz w:val="28"/>
          <w:szCs w:val="28"/>
        </w:rPr>
      </w:pPr>
      <w:r w:rsidRPr="005C4631">
        <w:rPr>
          <w:rFonts w:ascii="Arial" w:hAnsi="Arial" w:cs="Arial"/>
          <w:b/>
          <w:color w:val="auto"/>
          <w:sz w:val="28"/>
          <w:szCs w:val="28"/>
        </w:rPr>
        <w:t>Ergonomiczny fotel biurowy – 3 szt.</w:t>
      </w:r>
    </w:p>
    <w:p w14:paraId="66C0D81E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Specyfikacja techniczna</w:t>
      </w:r>
    </w:p>
    <w:p w14:paraId="26FAB13A" w14:textId="0F2FF7C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Rysunek poglądowy</w:t>
      </w:r>
      <w:r w:rsidRPr="0023696A">
        <w:rPr>
          <w:rFonts w:ascii="Arial" w:hAnsi="Arial" w:cs="Arial"/>
          <w:bCs/>
          <w:sz w:val="24"/>
          <w:szCs w:val="24"/>
        </w:rPr>
        <w:tab/>
        <w:t xml:space="preserve"> </w:t>
      </w:r>
    </w:p>
    <w:p w14:paraId="7A6DCB65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80DC604" wp14:editId="73727598">
            <wp:extent cx="2330970" cy="2962275"/>
            <wp:effectExtent l="0" t="0" r="0" b="0"/>
            <wp:docPr id="12" name="Obraz 1" descr="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0092" cy="297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20CCE9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2620426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45460929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 xml:space="preserve">Fotel wyposażony w zagłówek 2D, który zapewnia podparcie głowy podczas użytkowania, umożliwiający regulację kąta położenia w pionie oraz wysokości. </w:t>
      </w:r>
    </w:p>
    <w:p w14:paraId="2ADA3E31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Regulacja:</w:t>
      </w:r>
    </w:p>
    <w:p w14:paraId="11909E8B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w płaszczyźnie pionowej góra-dół w zakresie min. 80 mm</w:t>
      </w:r>
    </w:p>
    <w:p w14:paraId="741EEB92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kąta położenia w zakresie min. 50o</w:t>
      </w:r>
    </w:p>
    <w:p w14:paraId="61403F44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Oparcie fotela wyposażone w min. 6-stopniową regulację wysokości w zakresie min. 60 mm</w:t>
      </w:r>
    </w:p>
    <w:p w14:paraId="78C7FE06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lastRenderedPageBreak/>
        <w:t>- Niezależna, elastyczna część lędźwiowa odpowiadająca na ruchy Użytkownika w fotelu, zapewniając stałe wsparcie kręgosłupa, posiadająca możliwość regulacji siły oporu profilu lędźwiowego za pomocą pokrętła z tyłu oparcia</w:t>
      </w:r>
    </w:p>
    <w:p w14:paraId="2B6922B8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Zagłówek, oparcie oraz siedzisko tapicerowane tkaniną siatkową w kolorze jasnoszarym.</w:t>
      </w:r>
    </w:p>
    <w:p w14:paraId="7B65AE1A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Tkanina siatkowa posiadająca min. 10 stref o zróżnicowanym napięciu, tak by idealnie dopasować się do ciała Użytkownika.</w:t>
      </w:r>
    </w:p>
    <w:p w14:paraId="06D523AB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Fotel wyposażony w miękkie podłokietniki regulowane w min. 3 płaszczyznach: regulacja wysokości, regulacja położenia w płaszczyźnie poziomej, regulacja kąta położenia podłokietnika,</w:t>
      </w:r>
    </w:p>
    <w:p w14:paraId="39C6134A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 xml:space="preserve">- </w:t>
      </w:r>
      <w:proofErr w:type="spellStart"/>
      <w:r w:rsidRPr="0023696A">
        <w:rPr>
          <w:rFonts w:ascii="Arial" w:hAnsi="Arial" w:cs="Arial"/>
          <w:bCs/>
          <w:sz w:val="24"/>
          <w:szCs w:val="24"/>
        </w:rPr>
        <w:t>Samoważący</w:t>
      </w:r>
      <w:proofErr w:type="spellEnd"/>
      <w:r w:rsidRPr="0023696A">
        <w:rPr>
          <w:rFonts w:ascii="Arial" w:hAnsi="Arial" w:cs="Arial"/>
          <w:bCs/>
          <w:sz w:val="24"/>
          <w:szCs w:val="24"/>
        </w:rPr>
        <w:t xml:space="preserve"> mechanizm synchroniczny, podążający za ruchami Użytkownika z możliwością zablokowania wychylenia oparcia w jednej z co najmniej 5 pozycji</w:t>
      </w:r>
    </w:p>
    <w:p w14:paraId="7EDED240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Fotel z możliwością regulacji wysokości oraz głębokości siedziska</w:t>
      </w:r>
    </w:p>
    <w:p w14:paraId="4534CF52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Regulacja głębokości i wysokości, odblokowanie mechanizmu bujania oraz blokada wybranej pozycji oparcia za pomocą jednego funkcjonalnego joysticka</w:t>
      </w:r>
    </w:p>
    <w:p w14:paraId="16025030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Aluminiowa konstrukcja oparcia w kolorze polerowanego aluminium.</w:t>
      </w:r>
    </w:p>
    <w:p w14:paraId="71CAFB48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Aluminiowy stelaż posiadający elementy z kompozytu polimerowego w kolorze jasnoszarym</w:t>
      </w:r>
    </w:p>
    <w:p w14:paraId="1316DBB1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Trwała, aluminiowa podstawa jezdna wyposażona w miękkie kółka, ograniczające zużycie powierzchni twardych (parkiet, panele, terakota)</w:t>
      </w:r>
    </w:p>
    <w:p w14:paraId="6EF6C361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Regulacja wysokości siedziska w zakresie co najmniej 410 mm – 490 mm od podłoża</w:t>
      </w:r>
    </w:p>
    <w:p w14:paraId="0BB25548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Regulacja wysokości oparcia w zakresie co najmniej 710 mm – 830 mm od podłoża</w:t>
      </w:r>
    </w:p>
    <w:p w14:paraId="537E5424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Szerokość zagłówka min. 300 mm</w:t>
      </w:r>
    </w:p>
    <w:p w14:paraId="306ED0A1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Zakres regulacji głębokości siedziska min. 50 mm</w:t>
      </w:r>
    </w:p>
    <w:p w14:paraId="26468B61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Zakres regulacji wysokości podłokietników min. 90 mm</w:t>
      </w:r>
    </w:p>
    <w:p w14:paraId="7B5DC860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- Zakres regulacji podłokietnika w płaszczyźnie poziomej min.</w:t>
      </w:r>
    </w:p>
    <w:p w14:paraId="57DCF74C" w14:textId="7B42BC06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 xml:space="preserve">- </w:t>
      </w:r>
      <w:r w:rsidR="00BE46D2">
        <w:rPr>
          <w:rFonts w:ascii="Arial" w:hAnsi="Arial" w:cs="Arial"/>
          <w:bCs/>
          <w:sz w:val="24"/>
          <w:szCs w:val="24"/>
        </w:rPr>
        <w:t>Zakres regulacji kąta poło</w:t>
      </w:r>
      <w:r w:rsidRPr="0023696A">
        <w:rPr>
          <w:rFonts w:ascii="Arial" w:hAnsi="Arial" w:cs="Arial"/>
          <w:bCs/>
          <w:sz w:val="24"/>
          <w:szCs w:val="24"/>
        </w:rPr>
        <w:t xml:space="preserve">żenia podłokietnika min. </w:t>
      </w:r>
    </w:p>
    <w:p w14:paraId="5307F227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72E1B04F" w14:textId="77777777" w:rsidR="005C4631" w:rsidRPr="0023696A" w:rsidRDefault="005C4631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23696A">
        <w:rPr>
          <w:rFonts w:ascii="Arial" w:hAnsi="Arial" w:cs="Arial"/>
          <w:bCs/>
          <w:sz w:val="24"/>
          <w:szCs w:val="24"/>
        </w:rPr>
        <w:t>Wymiary maksymalne (</w:t>
      </w:r>
      <w:proofErr w:type="spellStart"/>
      <w:r w:rsidRPr="0023696A">
        <w:rPr>
          <w:rFonts w:ascii="Arial" w:hAnsi="Arial" w:cs="Arial"/>
          <w:bCs/>
          <w:sz w:val="24"/>
          <w:szCs w:val="24"/>
        </w:rPr>
        <w:t>sz</w:t>
      </w:r>
      <w:proofErr w:type="spellEnd"/>
      <w:r w:rsidRPr="0023696A">
        <w:rPr>
          <w:rFonts w:ascii="Arial" w:hAnsi="Arial" w:cs="Arial"/>
          <w:bCs/>
          <w:sz w:val="24"/>
          <w:szCs w:val="24"/>
        </w:rPr>
        <w:t xml:space="preserve"> x </w:t>
      </w:r>
      <w:proofErr w:type="spellStart"/>
      <w:r w:rsidRPr="0023696A">
        <w:rPr>
          <w:rFonts w:ascii="Arial" w:hAnsi="Arial" w:cs="Arial"/>
          <w:bCs/>
          <w:sz w:val="24"/>
          <w:szCs w:val="24"/>
        </w:rPr>
        <w:t>gł</w:t>
      </w:r>
      <w:proofErr w:type="spellEnd"/>
      <w:r w:rsidRPr="0023696A">
        <w:rPr>
          <w:rFonts w:ascii="Arial" w:hAnsi="Arial" w:cs="Arial"/>
          <w:bCs/>
          <w:sz w:val="24"/>
          <w:szCs w:val="24"/>
        </w:rPr>
        <w:t>): 560 mm x 750 mm</w:t>
      </w:r>
    </w:p>
    <w:p w14:paraId="5735C75A" w14:textId="7FB543B5" w:rsidR="005C4631" w:rsidRPr="0023696A" w:rsidRDefault="00BE46D2" w:rsidP="005C4631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BE46D2">
        <w:rPr>
          <w:rFonts w:ascii="Arial" w:hAnsi="Arial" w:cs="Arial"/>
          <w:b/>
          <w:bCs/>
          <w:sz w:val="24"/>
          <w:szCs w:val="24"/>
        </w:rPr>
        <w:t>Gwarancja</w:t>
      </w:r>
      <w:r w:rsidRPr="00BE46D2">
        <w:rPr>
          <w:rFonts w:ascii="Arial" w:hAnsi="Arial" w:cs="Arial"/>
          <w:b/>
          <w:bCs/>
          <w:sz w:val="24"/>
          <w:szCs w:val="24"/>
        </w:rPr>
        <w:tab/>
        <w:t>Minimum 2</w:t>
      </w:r>
      <w:r w:rsidR="005C4631" w:rsidRPr="00BE46D2">
        <w:rPr>
          <w:rFonts w:ascii="Arial" w:hAnsi="Arial" w:cs="Arial"/>
          <w:b/>
          <w:bCs/>
          <w:sz w:val="24"/>
          <w:szCs w:val="24"/>
        </w:rPr>
        <w:t xml:space="preserve"> lat</w:t>
      </w:r>
      <w:r w:rsidRPr="00BE46D2">
        <w:rPr>
          <w:rFonts w:ascii="Arial" w:hAnsi="Arial" w:cs="Arial"/>
          <w:b/>
          <w:bCs/>
          <w:sz w:val="24"/>
          <w:szCs w:val="24"/>
        </w:rPr>
        <w:t>a</w:t>
      </w:r>
      <w:r w:rsidR="005C4631" w:rsidRPr="0023696A">
        <w:rPr>
          <w:rFonts w:ascii="Arial" w:hAnsi="Arial" w:cs="Arial"/>
          <w:bCs/>
          <w:sz w:val="24"/>
          <w:szCs w:val="24"/>
        </w:rPr>
        <w:t xml:space="preserve"> </w:t>
      </w:r>
      <w:bookmarkStart w:id="0" w:name="_GoBack"/>
      <w:bookmarkEnd w:id="0"/>
    </w:p>
    <w:sectPr w:rsidR="005C4631" w:rsidRPr="0023696A" w:rsidSect="0065027C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985" w:right="851" w:bottom="567" w:left="1134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9CB4850" w14:textId="77777777" w:rsidR="00A212A0" w:rsidRDefault="00A212A0" w:rsidP="008F7B64">
      <w:pPr>
        <w:spacing w:after="0" w:line="240" w:lineRule="auto"/>
      </w:pPr>
      <w:r>
        <w:separator/>
      </w:r>
    </w:p>
  </w:endnote>
  <w:endnote w:type="continuationSeparator" w:id="0">
    <w:p w14:paraId="6293F4DE" w14:textId="77777777" w:rsidR="00A212A0" w:rsidRDefault="00A212A0" w:rsidP="008F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453D43" w14:textId="77777777" w:rsidR="00BD5A06" w:rsidRDefault="00BD5A06" w:rsidP="00BD5A06">
    <w:pPr>
      <w:pStyle w:val="Stopka"/>
    </w:pPr>
    <w:bookmarkStart w:id="1" w:name="DocumentMarkings1FooterEvenPages"/>
  </w:p>
  <w:bookmarkEnd w:id="1"/>
  <w:p w14:paraId="444C1A5E" w14:textId="77777777" w:rsidR="00BD5A06" w:rsidRDefault="00BD5A06" w:rsidP="00BD5A06">
    <w:pPr>
      <w:pStyle w:val="Stopka"/>
    </w:pPr>
  </w:p>
  <w:p w14:paraId="369C589F" w14:textId="77777777" w:rsidR="008B6E8A" w:rsidRDefault="008B6E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25AF6" w14:textId="5B85CAB2" w:rsidR="0065027C" w:rsidRDefault="0065027C" w:rsidP="0065027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 wp14:anchorId="006C6849" wp14:editId="2AE2D804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1" name="Obraz 1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 wp14:anchorId="59E965C6" wp14:editId="27C2B0CC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9F2520B" wp14:editId="6F71677B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9" name="Łącznik prosty ze strzałką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18D90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9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Zqci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L5mpyI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65027C" w14:paraId="02E62E5D" w14:textId="77777777" w:rsidTr="009103CF">
      <w:tc>
        <w:tcPr>
          <w:tcW w:w="0" w:type="auto"/>
          <w:shd w:val="clear" w:color="auto" w:fill="auto"/>
          <w:vAlign w:val="center"/>
        </w:tcPr>
        <w:p w14:paraId="1BA88887" w14:textId="77777777" w:rsidR="0065027C" w:rsidRPr="00B44D15" w:rsidRDefault="0065027C" w:rsidP="0065027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14:paraId="2B8A71DE" w14:textId="77777777" w:rsidR="0065027C" w:rsidRPr="00B7388A" w:rsidRDefault="0065027C" w:rsidP="0065027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14:paraId="793F2EC8" w14:textId="77777777" w:rsidR="0065027C" w:rsidRPr="00AB1BF2" w:rsidRDefault="0065027C" w:rsidP="0065027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14:paraId="07F2A665" w14:textId="77777777" w:rsidR="0065027C" w:rsidRPr="0099535B" w:rsidRDefault="0065027C" w:rsidP="0065027C">
          <w:pPr>
            <w:pStyle w:val="Bezodstpw"/>
            <w:jc w:val="center"/>
            <w:rPr>
              <w:noProof/>
            </w:rPr>
          </w:pPr>
        </w:p>
      </w:tc>
    </w:tr>
  </w:tbl>
  <w:p w14:paraId="538D45B4" w14:textId="77777777" w:rsidR="0065027C" w:rsidRPr="008F758E" w:rsidRDefault="0065027C" w:rsidP="0065027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14:paraId="6DB7F2C4" w14:textId="6E1DD8BA" w:rsidR="0065027C" w:rsidRPr="008F758E" w:rsidRDefault="0065027C" w:rsidP="0065027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104251A2" wp14:editId="01DBF39F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14:paraId="44E93B05" w14:textId="77777777" w:rsidR="0065027C" w:rsidRPr="00D57C24" w:rsidRDefault="0065027C" w:rsidP="0065027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14:paraId="428A055C" w14:textId="77777777" w:rsidR="0065027C" w:rsidRPr="00B7388A" w:rsidRDefault="0065027C" w:rsidP="0065027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14:paraId="37009FB7" w14:textId="77777777" w:rsidR="0065027C" w:rsidRDefault="0065027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FCD86" w14:textId="0EA40FA3" w:rsidR="00522B45" w:rsidRPr="00522B45" w:rsidRDefault="00A212A0">
    <w:pPr>
      <w:pStyle w:val="Stopka"/>
      <w:jc w:val="right"/>
      <w:rPr>
        <w:rFonts w:asciiTheme="majorHAnsi" w:eastAsiaTheme="majorEastAsia" w:hAnsiTheme="majorHAnsi" w:cstheme="majorBidi"/>
      </w:rPr>
    </w:pPr>
    <w:sdt>
      <w:sdtPr>
        <w:rPr>
          <w:rFonts w:asciiTheme="majorHAnsi" w:eastAsiaTheme="majorEastAsia" w:hAnsiTheme="majorHAnsi" w:cstheme="majorBidi"/>
        </w:rPr>
        <w:id w:val="1656943005"/>
        <w:docPartObj>
          <w:docPartGallery w:val="Page Numbers (Bottom of Page)"/>
          <w:docPartUnique/>
        </w:docPartObj>
      </w:sdtPr>
      <w:sdtEndPr/>
      <w:sdtContent>
        <w:r w:rsidR="00522B45" w:rsidRPr="00522B45">
          <w:rPr>
            <w:rFonts w:asciiTheme="majorHAnsi" w:eastAsiaTheme="majorEastAsia" w:hAnsiTheme="majorHAnsi" w:cstheme="majorBidi"/>
          </w:rPr>
          <w:t xml:space="preserve">str. </w:t>
        </w:r>
        <w:r w:rsidR="00522B45" w:rsidRPr="00522B45">
          <w:rPr>
            <w:rFonts w:asciiTheme="minorHAnsi" w:eastAsiaTheme="minorEastAsia" w:hAnsiTheme="minorHAnsi"/>
            <w:sz w:val="18"/>
            <w:szCs w:val="18"/>
          </w:rPr>
          <w:fldChar w:fldCharType="begin"/>
        </w:r>
        <w:r w:rsidR="00522B45" w:rsidRPr="00522B45">
          <w:rPr>
            <w:sz w:val="18"/>
            <w:szCs w:val="18"/>
          </w:rPr>
          <w:instrText>PAGE    \* MERGEFORMAT</w:instrText>
        </w:r>
        <w:r w:rsidR="00522B45" w:rsidRPr="00522B45">
          <w:rPr>
            <w:rFonts w:asciiTheme="minorHAnsi" w:eastAsiaTheme="minorEastAsia" w:hAnsiTheme="minorHAnsi"/>
            <w:sz w:val="18"/>
            <w:szCs w:val="18"/>
          </w:rPr>
          <w:fldChar w:fldCharType="separate"/>
        </w:r>
        <w:r w:rsidR="00522B45" w:rsidRPr="00522B45">
          <w:rPr>
            <w:rFonts w:asciiTheme="majorHAnsi" w:eastAsiaTheme="majorEastAsia" w:hAnsiTheme="majorHAnsi" w:cstheme="majorBidi"/>
          </w:rPr>
          <w:t>2</w:t>
        </w:r>
        <w:r w:rsidR="00522B45" w:rsidRPr="00522B45">
          <w:rPr>
            <w:rFonts w:asciiTheme="majorHAnsi" w:eastAsiaTheme="majorEastAsia" w:hAnsiTheme="majorHAnsi" w:cstheme="majorBidi"/>
          </w:rPr>
          <w:fldChar w:fldCharType="end"/>
        </w:r>
      </w:sdtContent>
    </w:sdt>
    <w:r w:rsidR="00522B45" w:rsidRPr="00522B45">
      <w:rPr>
        <w:rFonts w:asciiTheme="majorHAnsi" w:eastAsiaTheme="majorEastAsia" w:hAnsiTheme="majorHAnsi" w:cstheme="majorBidi"/>
      </w:rPr>
      <w:t xml:space="preserve"> z 3</w:t>
    </w:r>
  </w:p>
  <w:p w14:paraId="38F76DBB" w14:textId="77777777" w:rsidR="008B6E8A" w:rsidRDefault="008B6E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54A82" w14:textId="77777777" w:rsidR="00A212A0" w:rsidRDefault="00A212A0" w:rsidP="008F7B64">
      <w:pPr>
        <w:spacing w:after="0" w:line="240" w:lineRule="auto"/>
      </w:pPr>
      <w:r>
        <w:separator/>
      </w:r>
    </w:p>
  </w:footnote>
  <w:footnote w:type="continuationSeparator" w:id="0">
    <w:p w14:paraId="3C734C60" w14:textId="77777777" w:rsidR="00A212A0" w:rsidRDefault="00A212A0" w:rsidP="008F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BC2F7" w14:textId="0E32648E" w:rsidR="0065027C" w:rsidRPr="0062295F" w:rsidRDefault="0065027C" w:rsidP="0065027C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7E7BCABD" wp14:editId="3FDCA1A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1DBEC0" wp14:editId="6838707D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B5A171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14:paraId="57E330E8" w14:textId="77777777" w:rsidR="0065027C" w:rsidRDefault="0065027C" w:rsidP="0065027C"/>
  <w:p w14:paraId="142579A2" w14:textId="77777777" w:rsidR="0065027C" w:rsidRPr="0065027C" w:rsidRDefault="0065027C" w:rsidP="00650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1FCCEC" w14:textId="77777777" w:rsidR="008B6E8A" w:rsidRDefault="008B6E8A">
    <w:pPr>
      <w:pStyle w:val="Nagwek"/>
    </w:pPr>
  </w:p>
  <w:p w14:paraId="7C0556A4" w14:textId="77777777" w:rsidR="008F7B64" w:rsidRDefault="008F7B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325F7D"/>
    <w:multiLevelType w:val="hybridMultilevel"/>
    <w:tmpl w:val="4662AF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268FA"/>
    <w:multiLevelType w:val="hybridMultilevel"/>
    <w:tmpl w:val="BE541EEE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43E92"/>
    <w:multiLevelType w:val="hybridMultilevel"/>
    <w:tmpl w:val="6AF6C00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115AA"/>
    <w:multiLevelType w:val="hybridMultilevel"/>
    <w:tmpl w:val="8592C51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B7236"/>
    <w:multiLevelType w:val="hybridMultilevel"/>
    <w:tmpl w:val="911A109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60450"/>
    <w:multiLevelType w:val="hybridMultilevel"/>
    <w:tmpl w:val="444EE3A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70474C"/>
    <w:multiLevelType w:val="hybridMultilevel"/>
    <w:tmpl w:val="BF58253E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C058FE"/>
    <w:multiLevelType w:val="hybridMultilevel"/>
    <w:tmpl w:val="AB9C0E20"/>
    <w:lvl w:ilvl="0" w:tplc="2234A154">
      <w:start w:val="1"/>
      <w:numFmt w:val="bullet"/>
      <w:lvlText w:val=""/>
      <w:lvlJc w:val="left"/>
      <w:pPr>
        <w:ind w:left="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10" w15:restartNumberingAfterBreak="0">
    <w:nsid w:val="2C211C5E"/>
    <w:multiLevelType w:val="hybridMultilevel"/>
    <w:tmpl w:val="05E0C3D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805C96"/>
    <w:multiLevelType w:val="hybridMultilevel"/>
    <w:tmpl w:val="5BAEA8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6F33B4"/>
    <w:multiLevelType w:val="hybridMultilevel"/>
    <w:tmpl w:val="91448B3A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637A6"/>
    <w:multiLevelType w:val="hybridMultilevel"/>
    <w:tmpl w:val="2952BC72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AC60C28"/>
    <w:multiLevelType w:val="hybridMultilevel"/>
    <w:tmpl w:val="5704BE34"/>
    <w:lvl w:ilvl="0" w:tplc="1BF60F32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43225A"/>
    <w:multiLevelType w:val="hybridMultilevel"/>
    <w:tmpl w:val="0B14589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AA4F0A"/>
    <w:multiLevelType w:val="hybridMultilevel"/>
    <w:tmpl w:val="FB72D5AC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E9628B"/>
    <w:multiLevelType w:val="hybridMultilevel"/>
    <w:tmpl w:val="D2CEC156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B747B2"/>
    <w:multiLevelType w:val="hybridMultilevel"/>
    <w:tmpl w:val="7A5EF95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644045"/>
    <w:multiLevelType w:val="hybridMultilevel"/>
    <w:tmpl w:val="9B0CA198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7728A6"/>
    <w:multiLevelType w:val="hybridMultilevel"/>
    <w:tmpl w:val="6AB28504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8213F13"/>
    <w:multiLevelType w:val="hybridMultilevel"/>
    <w:tmpl w:val="E1E48408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A1248D"/>
    <w:multiLevelType w:val="hybridMultilevel"/>
    <w:tmpl w:val="168EB9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F74ACE"/>
    <w:multiLevelType w:val="hybridMultilevel"/>
    <w:tmpl w:val="E73A3C6A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2E7E58"/>
    <w:multiLevelType w:val="hybridMultilevel"/>
    <w:tmpl w:val="4B5C7744"/>
    <w:lvl w:ilvl="0" w:tplc="AD2AC76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9C44FCB"/>
    <w:multiLevelType w:val="hybridMultilevel"/>
    <w:tmpl w:val="B43CE012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0107C6"/>
    <w:multiLevelType w:val="hybridMultilevel"/>
    <w:tmpl w:val="9DF2CACE"/>
    <w:lvl w:ilvl="0" w:tplc="84B8F54A">
      <w:start w:val="56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12E4D9A"/>
    <w:multiLevelType w:val="hybridMultilevel"/>
    <w:tmpl w:val="C80063C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3A3151"/>
    <w:multiLevelType w:val="hybridMultilevel"/>
    <w:tmpl w:val="7D6E831E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F75B68"/>
    <w:multiLevelType w:val="hybridMultilevel"/>
    <w:tmpl w:val="EF927C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CE362F7"/>
    <w:multiLevelType w:val="hybridMultilevel"/>
    <w:tmpl w:val="0862FE06"/>
    <w:lvl w:ilvl="0" w:tplc="C4207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690AB8"/>
    <w:multiLevelType w:val="hybridMultilevel"/>
    <w:tmpl w:val="AA34336A"/>
    <w:lvl w:ilvl="0" w:tplc="94A617D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7"/>
  </w:num>
  <w:num w:numId="4">
    <w:abstractNumId w:val="5"/>
  </w:num>
  <w:num w:numId="5">
    <w:abstractNumId w:val="2"/>
  </w:num>
  <w:num w:numId="6">
    <w:abstractNumId w:val="26"/>
  </w:num>
  <w:num w:numId="7">
    <w:abstractNumId w:val="23"/>
  </w:num>
  <w:num w:numId="8">
    <w:abstractNumId w:val="9"/>
  </w:num>
  <w:num w:numId="9">
    <w:abstractNumId w:val="29"/>
  </w:num>
  <w:num w:numId="10">
    <w:abstractNumId w:val="3"/>
  </w:num>
  <w:num w:numId="11">
    <w:abstractNumId w:val="4"/>
  </w:num>
  <w:num w:numId="12">
    <w:abstractNumId w:val="18"/>
  </w:num>
  <w:num w:numId="13">
    <w:abstractNumId w:val="1"/>
  </w:num>
  <w:num w:numId="14">
    <w:abstractNumId w:val="22"/>
  </w:num>
  <w:num w:numId="15">
    <w:abstractNumId w:val="28"/>
  </w:num>
  <w:num w:numId="16">
    <w:abstractNumId w:val="25"/>
  </w:num>
  <w:num w:numId="17">
    <w:abstractNumId w:val="15"/>
  </w:num>
  <w:num w:numId="18">
    <w:abstractNumId w:val="34"/>
  </w:num>
  <w:num w:numId="19">
    <w:abstractNumId w:val="21"/>
  </w:num>
  <w:num w:numId="20">
    <w:abstractNumId w:val="12"/>
  </w:num>
  <w:num w:numId="21">
    <w:abstractNumId w:val="24"/>
  </w:num>
  <w:num w:numId="22">
    <w:abstractNumId w:val="10"/>
  </w:num>
  <w:num w:numId="23">
    <w:abstractNumId w:val="16"/>
  </w:num>
  <w:num w:numId="24">
    <w:abstractNumId w:val="17"/>
  </w:num>
  <w:num w:numId="25">
    <w:abstractNumId w:val="30"/>
  </w:num>
  <w:num w:numId="26">
    <w:abstractNumId w:val="20"/>
  </w:num>
  <w:num w:numId="27">
    <w:abstractNumId w:val="27"/>
  </w:num>
  <w:num w:numId="28">
    <w:abstractNumId w:val="19"/>
  </w:num>
  <w:num w:numId="29">
    <w:abstractNumId w:val="13"/>
  </w:num>
  <w:num w:numId="30">
    <w:abstractNumId w:val="8"/>
  </w:num>
  <w:num w:numId="31">
    <w:abstractNumId w:val="6"/>
  </w:num>
  <w:num w:numId="32">
    <w:abstractNumId w:val="33"/>
  </w:num>
  <w:num w:numId="33">
    <w:abstractNumId w:val="0"/>
  </w:num>
  <w:num w:numId="34">
    <w:abstractNumId w:val="11"/>
  </w:num>
  <w:num w:numId="3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EE0"/>
    <w:rsid w:val="00032F1B"/>
    <w:rsid w:val="00034EBB"/>
    <w:rsid w:val="00037D69"/>
    <w:rsid w:val="00050111"/>
    <w:rsid w:val="00066F6F"/>
    <w:rsid w:val="0007215B"/>
    <w:rsid w:val="00093086"/>
    <w:rsid w:val="000B380B"/>
    <w:rsid w:val="000B62E2"/>
    <w:rsid w:val="000B634A"/>
    <w:rsid w:val="000D0B7F"/>
    <w:rsid w:val="000E1BE1"/>
    <w:rsid w:val="000E444A"/>
    <w:rsid w:val="000E5E97"/>
    <w:rsid w:val="00101A29"/>
    <w:rsid w:val="00114AAF"/>
    <w:rsid w:val="001226A7"/>
    <w:rsid w:val="001527E7"/>
    <w:rsid w:val="001547B9"/>
    <w:rsid w:val="001904F6"/>
    <w:rsid w:val="00193FC1"/>
    <w:rsid w:val="001A59C2"/>
    <w:rsid w:val="001B08C1"/>
    <w:rsid w:val="001C2022"/>
    <w:rsid w:val="001D7A51"/>
    <w:rsid w:val="001F23AF"/>
    <w:rsid w:val="001F4110"/>
    <w:rsid w:val="00203627"/>
    <w:rsid w:val="00206526"/>
    <w:rsid w:val="00210574"/>
    <w:rsid w:val="002123F8"/>
    <w:rsid w:val="00232BE7"/>
    <w:rsid w:val="0025682B"/>
    <w:rsid w:val="002622FF"/>
    <w:rsid w:val="002633FB"/>
    <w:rsid w:val="00265E4E"/>
    <w:rsid w:val="002745F6"/>
    <w:rsid w:val="002A1D1F"/>
    <w:rsid w:val="002B0278"/>
    <w:rsid w:val="002C4ADF"/>
    <w:rsid w:val="002E5AFE"/>
    <w:rsid w:val="002F4958"/>
    <w:rsid w:val="003064CC"/>
    <w:rsid w:val="00311E1F"/>
    <w:rsid w:val="00325D9F"/>
    <w:rsid w:val="00326D9A"/>
    <w:rsid w:val="003524FA"/>
    <w:rsid w:val="003703C0"/>
    <w:rsid w:val="00373B7C"/>
    <w:rsid w:val="00383982"/>
    <w:rsid w:val="00387C39"/>
    <w:rsid w:val="00393202"/>
    <w:rsid w:val="00393FD0"/>
    <w:rsid w:val="003D6AC8"/>
    <w:rsid w:val="00406E72"/>
    <w:rsid w:val="004145B3"/>
    <w:rsid w:val="0042063E"/>
    <w:rsid w:val="004240A4"/>
    <w:rsid w:val="004250F7"/>
    <w:rsid w:val="00437D1B"/>
    <w:rsid w:val="004541AC"/>
    <w:rsid w:val="00484EB3"/>
    <w:rsid w:val="00486EE0"/>
    <w:rsid w:val="004D498B"/>
    <w:rsid w:val="004E1570"/>
    <w:rsid w:val="004E79BC"/>
    <w:rsid w:val="005111D2"/>
    <w:rsid w:val="00516DED"/>
    <w:rsid w:val="00522B45"/>
    <w:rsid w:val="00523940"/>
    <w:rsid w:val="005313AD"/>
    <w:rsid w:val="00540FF3"/>
    <w:rsid w:val="0055525E"/>
    <w:rsid w:val="00560F8C"/>
    <w:rsid w:val="00571E48"/>
    <w:rsid w:val="0058006F"/>
    <w:rsid w:val="0058195E"/>
    <w:rsid w:val="005A0C34"/>
    <w:rsid w:val="005A5897"/>
    <w:rsid w:val="005A715E"/>
    <w:rsid w:val="005C4631"/>
    <w:rsid w:val="005C4C1C"/>
    <w:rsid w:val="005C786D"/>
    <w:rsid w:val="005D02AB"/>
    <w:rsid w:val="00611034"/>
    <w:rsid w:val="0065027C"/>
    <w:rsid w:val="00663588"/>
    <w:rsid w:val="00664312"/>
    <w:rsid w:val="00680F7B"/>
    <w:rsid w:val="007045C0"/>
    <w:rsid w:val="00711C01"/>
    <w:rsid w:val="00720C87"/>
    <w:rsid w:val="00742DC5"/>
    <w:rsid w:val="00754736"/>
    <w:rsid w:val="00754EDF"/>
    <w:rsid w:val="00755679"/>
    <w:rsid w:val="00761B1D"/>
    <w:rsid w:val="00776376"/>
    <w:rsid w:val="0078241B"/>
    <w:rsid w:val="00792159"/>
    <w:rsid w:val="007A55D8"/>
    <w:rsid w:val="007D2565"/>
    <w:rsid w:val="007D5410"/>
    <w:rsid w:val="007E03AE"/>
    <w:rsid w:val="007F08BC"/>
    <w:rsid w:val="007F5981"/>
    <w:rsid w:val="00816FFD"/>
    <w:rsid w:val="008218FC"/>
    <w:rsid w:val="008232A5"/>
    <w:rsid w:val="008239AE"/>
    <w:rsid w:val="00843D8C"/>
    <w:rsid w:val="008457B4"/>
    <w:rsid w:val="0084639A"/>
    <w:rsid w:val="00850BA5"/>
    <w:rsid w:val="00864B53"/>
    <w:rsid w:val="0087188A"/>
    <w:rsid w:val="008A15ED"/>
    <w:rsid w:val="008B6E8A"/>
    <w:rsid w:val="008C3B20"/>
    <w:rsid w:val="008C6B43"/>
    <w:rsid w:val="008C7C98"/>
    <w:rsid w:val="008F7B64"/>
    <w:rsid w:val="00922BAB"/>
    <w:rsid w:val="00923FC8"/>
    <w:rsid w:val="00936323"/>
    <w:rsid w:val="0093738B"/>
    <w:rsid w:val="00942E07"/>
    <w:rsid w:val="00963DEF"/>
    <w:rsid w:val="00977262"/>
    <w:rsid w:val="00986A4B"/>
    <w:rsid w:val="009953CF"/>
    <w:rsid w:val="009A0FB2"/>
    <w:rsid w:val="009C0C24"/>
    <w:rsid w:val="009E6853"/>
    <w:rsid w:val="00A15504"/>
    <w:rsid w:val="00A17791"/>
    <w:rsid w:val="00A212A0"/>
    <w:rsid w:val="00A22186"/>
    <w:rsid w:val="00A25CC4"/>
    <w:rsid w:val="00A2675C"/>
    <w:rsid w:val="00A3189F"/>
    <w:rsid w:val="00A40FB5"/>
    <w:rsid w:val="00A6755B"/>
    <w:rsid w:val="00A72BD1"/>
    <w:rsid w:val="00A743B2"/>
    <w:rsid w:val="00A91CFC"/>
    <w:rsid w:val="00A959C9"/>
    <w:rsid w:val="00AA4216"/>
    <w:rsid w:val="00AA78EB"/>
    <w:rsid w:val="00AB2D19"/>
    <w:rsid w:val="00AB3F05"/>
    <w:rsid w:val="00AB52D2"/>
    <w:rsid w:val="00AB711F"/>
    <w:rsid w:val="00AC378A"/>
    <w:rsid w:val="00B33A4D"/>
    <w:rsid w:val="00B45714"/>
    <w:rsid w:val="00B52110"/>
    <w:rsid w:val="00B6202C"/>
    <w:rsid w:val="00B65519"/>
    <w:rsid w:val="00B67344"/>
    <w:rsid w:val="00BC397C"/>
    <w:rsid w:val="00BD5A06"/>
    <w:rsid w:val="00BD7422"/>
    <w:rsid w:val="00BE46D2"/>
    <w:rsid w:val="00C01245"/>
    <w:rsid w:val="00C15F5F"/>
    <w:rsid w:val="00C17AE4"/>
    <w:rsid w:val="00C25069"/>
    <w:rsid w:val="00C26D78"/>
    <w:rsid w:val="00C4461C"/>
    <w:rsid w:val="00C56E58"/>
    <w:rsid w:val="00C61075"/>
    <w:rsid w:val="00C802E2"/>
    <w:rsid w:val="00CA05A2"/>
    <w:rsid w:val="00CC3A5F"/>
    <w:rsid w:val="00CC50B2"/>
    <w:rsid w:val="00CC543F"/>
    <w:rsid w:val="00CC7507"/>
    <w:rsid w:val="00CD3C3D"/>
    <w:rsid w:val="00D176C0"/>
    <w:rsid w:val="00D2326E"/>
    <w:rsid w:val="00D45D6E"/>
    <w:rsid w:val="00D75CFF"/>
    <w:rsid w:val="00DA248A"/>
    <w:rsid w:val="00DA3A25"/>
    <w:rsid w:val="00DC7F11"/>
    <w:rsid w:val="00DF3F68"/>
    <w:rsid w:val="00E009A1"/>
    <w:rsid w:val="00E03D30"/>
    <w:rsid w:val="00E20F5A"/>
    <w:rsid w:val="00E2183D"/>
    <w:rsid w:val="00E267BE"/>
    <w:rsid w:val="00E324DD"/>
    <w:rsid w:val="00E50397"/>
    <w:rsid w:val="00E66328"/>
    <w:rsid w:val="00EA7FA6"/>
    <w:rsid w:val="00EB469E"/>
    <w:rsid w:val="00EE1A10"/>
    <w:rsid w:val="00EF0A47"/>
    <w:rsid w:val="00F10B43"/>
    <w:rsid w:val="00F264EA"/>
    <w:rsid w:val="00F32F8C"/>
    <w:rsid w:val="00F5403C"/>
    <w:rsid w:val="00F56A74"/>
    <w:rsid w:val="00F57388"/>
    <w:rsid w:val="00F83728"/>
    <w:rsid w:val="00F9546B"/>
    <w:rsid w:val="00FB3116"/>
    <w:rsid w:val="00FC02D9"/>
    <w:rsid w:val="00FD643E"/>
    <w:rsid w:val="00FE4D40"/>
    <w:rsid w:val="00FF2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343196"/>
  <w15:chartTrackingRefBased/>
  <w15:docId w15:val="{B0ED1CAD-400F-4D6E-BF76-2711F5067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027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C463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B64"/>
  </w:style>
  <w:style w:type="paragraph" w:styleId="Stopka">
    <w:name w:val="footer"/>
    <w:basedOn w:val="Normalny"/>
    <w:link w:val="StopkaZnak"/>
    <w:uiPriority w:val="99"/>
    <w:unhideWhenUsed/>
    <w:rsid w:val="008F7B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B64"/>
  </w:style>
  <w:style w:type="table" w:styleId="Tabela-Siatka">
    <w:name w:val="Table Grid"/>
    <w:basedOn w:val="Standardowy"/>
    <w:uiPriority w:val="39"/>
    <w:rsid w:val="008F7B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8F7B64"/>
    <w:rPr>
      <w:color w:val="0000FF"/>
      <w:u w:val="single"/>
    </w:rPr>
  </w:style>
  <w:style w:type="paragraph" w:customStyle="1" w:styleId="Default">
    <w:name w:val="Default"/>
    <w:rsid w:val="008F7B6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pl-PL"/>
    </w:rPr>
  </w:style>
  <w:style w:type="paragraph" w:customStyle="1" w:styleId="Tekstpodstawowy1">
    <w:name w:val="Tekst podstawowy1"/>
    <w:basedOn w:val="Normalny"/>
    <w:rsid w:val="00A2675C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Arial">
    <w:name w:val="Body text + Arial"/>
    <w:aliases w:val="9,5 pt,Bold"/>
    <w:rsid w:val="00A2675C"/>
    <w:rPr>
      <w:rFonts w:ascii="Arial" w:eastAsia="Times New Roman" w:hAnsi="Arial" w:cs="Arial" w:hint="default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UnresolvedMention">
    <w:name w:val="Unresolved Mention"/>
    <w:uiPriority w:val="99"/>
    <w:semiHidden/>
    <w:unhideWhenUsed/>
    <w:rsid w:val="0025682B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63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36323"/>
    <w:rPr>
      <w:rFonts w:ascii="Segoe UI" w:hAnsi="Segoe UI" w:cs="Segoe UI"/>
      <w:sz w:val="18"/>
      <w:szCs w:val="18"/>
      <w:lang w:val="pl-PL"/>
    </w:rPr>
  </w:style>
  <w:style w:type="character" w:styleId="UyteHipercze">
    <w:name w:val="FollowedHyperlink"/>
    <w:uiPriority w:val="99"/>
    <w:semiHidden/>
    <w:unhideWhenUsed/>
    <w:rsid w:val="00864B53"/>
    <w:rPr>
      <w:color w:val="954F72"/>
      <w:u w:val="single"/>
    </w:rPr>
  </w:style>
  <w:style w:type="character" w:styleId="Odwoaniedokomentarza">
    <w:name w:val="annotation reference"/>
    <w:uiPriority w:val="99"/>
    <w:semiHidden/>
    <w:unhideWhenUsed/>
    <w:rsid w:val="002633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33F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2633FB"/>
    <w:rPr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33F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2633FB"/>
    <w:rPr>
      <w:b/>
      <w:bCs/>
      <w:lang w:val="pl-PL"/>
    </w:rPr>
  </w:style>
  <w:style w:type="paragraph" w:styleId="Akapitzlist">
    <w:name w:val="List Paragraph"/>
    <w:basedOn w:val="Normalny"/>
    <w:uiPriority w:val="34"/>
    <w:qFormat/>
    <w:rsid w:val="00742DC5"/>
    <w:pPr>
      <w:ind w:left="720"/>
      <w:contextualSpacing/>
    </w:pPr>
  </w:style>
  <w:style w:type="paragraph" w:styleId="Bezodstpw">
    <w:name w:val="No Spacing"/>
    <w:uiPriority w:val="1"/>
    <w:qFormat/>
    <w:rsid w:val="0065027C"/>
    <w:rPr>
      <w:rFonts w:ascii="Arial" w:eastAsia="Times New Roman" w:hAnsi="Arial"/>
      <w:sz w:val="22"/>
      <w:szCs w:val="22"/>
      <w:lang w:val="pl-PL"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027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C4631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9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8FBC2-E40A-488F-8FB9-7AABB96FB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703</Words>
  <Characters>4219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4913</CharactersWithSpaces>
  <SharedDoc>false</SharedDoc>
  <HLinks>
    <vt:vector size="24" baseType="variant">
      <vt:variant>
        <vt:i4>7012450</vt:i4>
      </vt:variant>
      <vt:variant>
        <vt:i4>9</vt:i4>
      </vt:variant>
      <vt:variant>
        <vt:i4>0</vt:i4>
      </vt:variant>
      <vt:variant>
        <vt:i4>5</vt:i4>
      </vt:variant>
      <vt:variant>
        <vt:lpwstr>http://tcocertified.com/product-finder/</vt:lpwstr>
      </vt:variant>
      <vt:variant>
        <vt:lpwstr/>
      </vt:variant>
      <vt:variant>
        <vt:i4>5439490</vt:i4>
      </vt:variant>
      <vt:variant>
        <vt:i4>6</vt:i4>
      </vt:variant>
      <vt:variant>
        <vt:i4>0</vt:i4>
      </vt:variant>
      <vt:variant>
        <vt:i4>5</vt:i4>
      </vt:variant>
      <vt:variant>
        <vt:lpwstr>http://www.dmtf.org/standards/mgmt/dash/</vt:lpwstr>
      </vt:variant>
      <vt:variant>
        <vt:lpwstr/>
      </vt:variant>
      <vt:variant>
        <vt:i4>1835089</vt:i4>
      </vt:variant>
      <vt:variant>
        <vt:i4>3</vt:i4>
      </vt:variant>
      <vt:variant>
        <vt:i4>0</vt:i4>
      </vt:variant>
      <vt:variant>
        <vt:i4>5</vt:i4>
      </vt:variant>
      <vt:variant>
        <vt:lpwstr>http://www.plugloadsolutions.com/80pluspowersupplies.aspx</vt:lpwstr>
      </vt:variant>
      <vt:variant>
        <vt:lpwstr/>
      </vt:variant>
      <vt:variant>
        <vt:i4>2162794</vt:i4>
      </vt:variant>
      <vt:variant>
        <vt:i4>0</vt:i4>
      </vt:variant>
      <vt:variant>
        <vt:i4>0</vt:i4>
      </vt:variant>
      <vt:variant>
        <vt:i4>5</vt:i4>
      </vt:variant>
      <vt:variant>
        <vt:lpwstr>https://www.videocardbenchmark.net/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Włodarczyk</dc:creator>
  <dc:description/>
  <cp:lastModifiedBy>Maria Taranek-Totoś</cp:lastModifiedBy>
  <cp:revision>7</cp:revision>
  <cp:lastPrinted>2024-07-25T12:41:00Z</cp:lastPrinted>
  <dcterms:created xsi:type="dcterms:W3CDTF">2024-07-25T12:27:00Z</dcterms:created>
  <dcterms:modified xsi:type="dcterms:W3CDTF">2024-07-25T12:50:00Z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8679c804-e300-4f43-b0c7-bb51abd65768</vt:lpwstr>
  </property>
  <property fmtid="{D5CDD505-2E9C-101B-9397-08002B2CF9AE}" pid="3" name="Document Creator">
    <vt:lpwstr/>
  </property>
  <property fmtid="{D5CDD505-2E9C-101B-9397-08002B2CF9AE}" pid="4" name="Document Editor">
    <vt:lpwstr/>
  </property>
  <property fmtid="{D5CDD505-2E9C-101B-9397-08002B2CF9AE}" pid="5" name="Classification">
    <vt:lpwstr>No Restrictions</vt:lpwstr>
  </property>
  <property fmtid="{D5CDD505-2E9C-101B-9397-08002B2CF9AE}" pid="6" name="Sublabels">
    <vt:lpwstr/>
  </property>
  <property fmtid="{D5CDD505-2E9C-101B-9397-08002B2CF9AE}" pid="7" name="MSIP_Label_17cb76b2-10b8-4fe1-93d4-2202842406cd_Enabled">
    <vt:lpwstr>True</vt:lpwstr>
  </property>
  <property fmtid="{D5CDD505-2E9C-101B-9397-08002B2CF9AE}" pid="8" name="MSIP_Label_17cb76b2-10b8-4fe1-93d4-2202842406cd_SiteId">
    <vt:lpwstr>945c199a-83a2-4e80-9f8c-5a91be5752dd</vt:lpwstr>
  </property>
  <property fmtid="{D5CDD505-2E9C-101B-9397-08002B2CF9AE}" pid="9" name="MSIP_Label_17cb76b2-10b8-4fe1-93d4-2202842406cd_Ref">
    <vt:lpwstr>https://api.informationprotection.azure.com/api/945c199a-83a2-4e80-9f8c-5a91be5752dd</vt:lpwstr>
  </property>
  <property fmtid="{D5CDD505-2E9C-101B-9397-08002B2CF9AE}" pid="10" name="MSIP_Label_17cb76b2-10b8-4fe1-93d4-2202842406cd_Owner">
    <vt:lpwstr>Kazimierz_Szczepanik@Dell.com</vt:lpwstr>
  </property>
  <property fmtid="{D5CDD505-2E9C-101B-9397-08002B2CF9AE}" pid="11" name="MSIP_Label_17cb76b2-10b8-4fe1-93d4-2202842406cd_SetDate">
    <vt:lpwstr>2018-02-16T11:22:59.5063346+01:00</vt:lpwstr>
  </property>
  <property fmtid="{D5CDD505-2E9C-101B-9397-08002B2CF9AE}" pid="12" name="MSIP_Label_17cb76b2-10b8-4fe1-93d4-2202842406cd_Name">
    <vt:lpwstr>External Public</vt:lpwstr>
  </property>
  <property fmtid="{D5CDD505-2E9C-101B-9397-08002B2CF9AE}" pid="13" name="MSIP_Label_17cb76b2-10b8-4fe1-93d4-2202842406cd_Application">
    <vt:lpwstr>Microsoft Azure Information Protection</vt:lpwstr>
  </property>
  <property fmtid="{D5CDD505-2E9C-101B-9397-08002B2CF9AE}" pid="14" name="MSIP_Label_17cb76b2-10b8-4fe1-93d4-2202842406cd_Extended_MSFT_Method">
    <vt:lpwstr>Manual</vt:lpwstr>
  </property>
  <property fmtid="{D5CDD505-2E9C-101B-9397-08002B2CF9AE}" pid="15" name="Sensitivity">
    <vt:lpwstr>External Public</vt:lpwstr>
  </property>
</Properties>
</file>