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935D6" w:rsidRDefault="00E469D0" w:rsidP="00E46EBE">
      <w:pPr>
        <w:spacing w:before="360" w:after="360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E469D0">
        <w:rPr>
          <w:rFonts w:ascii="Arial" w:hAnsi="Arial" w:cs="Arial"/>
          <w:sz w:val="24"/>
          <w:szCs w:val="24"/>
        </w:rPr>
        <w:t>Częstochowa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E74932">
        <w:rPr>
          <w:rFonts w:ascii="Arial" w:hAnsi="Arial" w:cs="Arial"/>
          <w:sz w:val="24"/>
          <w:szCs w:val="24"/>
        </w:rPr>
        <w:t>2023-08-22</w:t>
      </w:r>
    </w:p>
    <w:p w:rsidR="0029606A" w:rsidRPr="00E935D6" w:rsidRDefault="0029606A" w:rsidP="00E46EBE">
      <w:pPr>
        <w:spacing w:before="360" w:after="360" w:line="36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E469D0" w:rsidP="00E46EBE">
      <w:pPr>
        <w:spacing w:before="360" w:after="36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E469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E935D6" w:rsidRDefault="00E469D0" w:rsidP="00E46EBE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E469D0">
        <w:rPr>
          <w:rFonts w:ascii="Arial" w:hAnsi="Arial" w:cs="Arial"/>
          <w:sz w:val="24"/>
          <w:szCs w:val="24"/>
        </w:rPr>
        <w:t>Dąbrowskiego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469D0">
        <w:rPr>
          <w:rFonts w:ascii="Arial" w:hAnsi="Arial" w:cs="Arial"/>
          <w:sz w:val="24"/>
          <w:szCs w:val="24"/>
        </w:rPr>
        <w:t>69</w:t>
      </w:r>
    </w:p>
    <w:p w:rsidR="006A5DF1" w:rsidRDefault="00E469D0" w:rsidP="00E46EBE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E469D0">
        <w:rPr>
          <w:rFonts w:ascii="Arial" w:hAnsi="Arial" w:cs="Arial"/>
          <w:sz w:val="24"/>
          <w:szCs w:val="24"/>
        </w:rPr>
        <w:t>42-201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469D0">
        <w:rPr>
          <w:rFonts w:ascii="Arial" w:hAnsi="Arial" w:cs="Arial"/>
          <w:sz w:val="24"/>
          <w:szCs w:val="24"/>
        </w:rPr>
        <w:t>Częstochowa</w:t>
      </w:r>
    </w:p>
    <w:p w:rsidR="00E46EBE" w:rsidRPr="00E935D6" w:rsidRDefault="00E46EBE" w:rsidP="00E46EBE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A639A9">
        <w:rPr>
          <w:rFonts w:ascii="Arial" w:hAnsi="Arial" w:cs="Arial"/>
          <w:sz w:val="24"/>
          <w:szCs w:val="24"/>
        </w:rPr>
        <w:t>743/23</w:t>
      </w:r>
      <w:bookmarkStart w:id="0" w:name="_GoBack"/>
      <w:bookmarkEnd w:id="0"/>
    </w:p>
    <w:p w:rsidR="006A5DF1" w:rsidRPr="00E935D6" w:rsidRDefault="006A5DF1" w:rsidP="00E46EBE">
      <w:pPr>
        <w:tabs>
          <w:tab w:val="left" w:pos="708"/>
          <w:tab w:val="center" w:pos="4536"/>
          <w:tab w:val="right" w:pos="9072"/>
        </w:tabs>
        <w:spacing w:before="360" w:after="360" w:line="36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46EBE">
      <w:pPr>
        <w:tabs>
          <w:tab w:val="left" w:pos="708"/>
          <w:tab w:val="center" w:pos="4536"/>
          <w:tab w:val="right" w:pos="9072"/>
        </w:tabs>
        <w:spacing w:before="360" w:after="360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E935D6" w:rsidRDefault="00BC760A" w:rsidP="00E46EBE">
      <w:pPr>
        <w:pStyle w:val="Nagwek1"/>
        <w:spacing w:before="360" w:after="360" w:line="360" w:lineRule="auto"/>
        <w:contextualSpacing/>
        <w:jc w:val="center"/>
        <w:rPr>
          <w:rFonts w:cs="Arial"/>
          <w:szCs w:val="28"/>
        </w:rPr>
      </w:pPr>
      <w:r w:rsidRPr="00BC760A">
        <w:rPr>
          <w:rFonts w:cs="Arial"/>
          <w:szCs w:val="28"/>
        </w:rPr>
        <w:t>WYJAŚNIENIA TREŚCI SWZ, ZMIANA SWZ, PRZEDŁUŻENIE TERMINU SKŁADANIA OFERT</w:t>
      </w:r>
    </w:p>
    <w:p w:rsidR="006D4AB3" w:rsidRPr="00E935D6" w:rsidRDefault="00632C3C" w:rsidP="00E46EBE">
      <w:pPr>
        <w:spacing w:before="360" w:after="3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E469D0" w:rsidRPr="00E469D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469D0" w:rsidRPr="00E469D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469D0" w:rsidRPr="00E469D0">
        <w:rPr>
          <w:rFonts w:ascii="Arial" w:hAnsi="Arial" w:cs="Arial"/>
          <w:b/>
          <w:bCs/>
          <w:sz w:val="24"/>
          <w:szCs w:val="24"/>
        </w:rPr>
        <w:t>Przebudowa pomieszczeń na potrzeby Centrum Przetwarzania danych Politechniki Częstochowskiej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469D0" w:rsidRPr="00E469D0">
        <w:rPr>
          <w:rFonts w:ascii="Arial" w:hAnsi="Arial" w:cs="Arial"/>
          <w:b/>
          <w:sz w:val="24"/>
          <w:szCs w:val="24"/>
        </w:rPr>
        <w:t>RK-NZ.261.50.2023.ŁZ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E46EBE">
      <w:pPr>
        <w:spacing w:before="360" w:after="360"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469D0" w:rsidRPr="00E469D0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469D0" w:rsidRPr="00E469D0">
        <w:rPr>
          <w:rFonts w:ascii="Arial" w:hAnsi="Arial" w:cs="Arial"/>
          <w:sz w:val="24"/>
          <w:szCs w:val="24"/>
        </w:rPr>
        <w:t>(</w:t>
      </w:r>
      <w:proofErr w:type="spellStart"/>
      <w:r w:rsidR="00E469D0" w:rsidRPr="00E469D0">
        <w:rPr>
          <w:rFonts w:ascii="Arial" w:hAnsi="Arial" w:cs="Arial"/>
          <w:sz w:val="24"/>
          <w:szCs w:val="24"/>
        </w:rPr>
        <w:t>t.j</w:t>
      </w:r>
      <w:proofErr w:type="spellEnd"/>
      <w:r w:rsidR="00E469D0" w:rsidRPr="00E469D0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69D0" w:rsidRPr="00E935D6" w:rsidTr="00FC24D0">
        <w:tc>
          <w:tcPr>
            <w:tcW w:w="9356" w:type="dxa"/>
            <w:shd w:val="clear" w:color="auto" w:fill="auto"/>
          </w:tcPr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Zamawiający podaje w projekcie następujący wymóg: „Główne elementy zespołu prądotwórczego (silnik spalinowy, prądnica synchroniczna, panel sterowania) mają pochodzić od jednego producenta, który jest jednocześnie producentem kompletnego zespołu prądotwórczego...” Pytanie: Według naszej wiedzy zapis ten ogranicza dostawę agregatu do jednego producenta. Większość producentów agregatów ma związania złożone z elementów od największych producentów podzespołów. Wobec tego czy dopuszczą Państwo agregat sygnowany gwarancją i certyfikatem jakości </w:t>
            </w:r>
            <w:r w:rsidRPr="00E74932">
              <w:rPr>
                <w:rFonts w:ascii="Arial" w:hAnsi="Arial" w:cs="Arial"/>
                <w:sz w:val="24"/>
                <w:szCs w:val="24"/>
              </w:rPr>
              <w:lastRenderedPageBreak/>
              <w:t>producenta, ale składający się z elementów dostarczanych przez największych producentów podzespołów?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Odpowiedź: </w:t>
            </w:r>
            <w:r w:rsidRPr="00E74932">
              <w:rPr>
                <w:rFonts w:ascii="Arial" w:hAnsi="Arial" w:cs="Arial"/>
                <w:sz w:val="24"/>
                <w:szCs w:val="24"/>
              </w:rPr>
              <w:t>Zamawiający dopuszcza agregat sygnowany gwarancją i certyfikatem jakości producenta składający się z elementów dostarczanych przez producentów podzespołów.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b/>
                <w:sz w:val="24"/>
                <w:szCs w:val="24"/>
              </w:rPr>
              <w:t>2.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 Zamawiający podaje w projekcie następujący wymóg: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Maksymalne wymiary obudowy dźwiękochłonnej: długość 3460 mm, szerokość 1090 mm, wysokość 2062mm.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Czy Zamawiający dopuści obudowę dźwiękochłonną o szerokości 1100mm?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Odpowiedź: </w:t>
            </w:r>
            <w:r w:rsidRPr="00E74932">
              <w:rPr>
                <w:rFonts w:ascii="Arial" w:hAnsi="Arial" w:cs="Arial"/>
                <w:sz w:val="24"/>
                <w:szCs w:val="24"/>
              </w:rPr>
              <w:t>Zamawiający dopuszcza obudowę o proponowanych parametrach.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 Proszę o doprecyzowanie pojemności zbiornika paliwa / czasu podtrzymania agregatu. W „CZEDABSER_PW_IE_opis_3„jest zapis czasie pracy agregatu 10h przy 100% obciążenia, natomiast w „CZEDABSER_PW_IE_stwior_3„jest zapis mówiący o 14 godzinach pracy przy obciążeniu 136 kVA/109 kW?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>Zapis 14h przy obciążeniu 136kVA/109kW jest obowiązujący.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 W „CZEDABSER_PW_IE_stwior_3 pkt 1.7.9.3 Wytyczne dla obudowy dźwiękochłonnej” proszę o określenie przedziału wymiarów jakie powinna mieć obudowa dźwiękochłonna agregatu? Obecny zapis umożliwia zastosowanie agregatu prądotwórczego tylko i wyłącznie pochodzącego od jednego producenta, co w znaczny sposób wpływa na wybór dostawcy. Czy Zamawiający dopuści agregat prądotwórczy w obudowie dźwiękochłonnej o wymiarach 3520 x 1135 x 1810, waga 2100 kg co pozwoli zachować konkurencyjność postępowania zgodnie z Ustawą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 xml:space="preserve">? </w:t>
            </w:r>
            <w:r w:rsidRPr="00E74932">
              <w:rPr>
                <w:rFonts w:ascii="Arial" w:hAnsi="Arial" w:cs="Arial"/>
                <w:sz w:val="24"/>
                <w:szCs w:val="24"/>
              </w:rPr>
              <w:br w:type="page"/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>Zamawiający dopuszcza obudowę o proponowanych parametrach.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5.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 Czy Zamawiający dopuszcza zastosowanie agregatu prądotwórczego o większej mocy spełniającego pozostałe założenia projektowe?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dopuszcza zastosowanie agregatu prądotwórczego o większej mocy.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6.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Jakiego przekroju kable należy ułożyć między stacją transformatorową, a złączem ZKB1n? W projekcie na rysunku IES-1 zasilanie złącza ZKB1n ze stacji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trafo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jest wykonane kablem 5xYKXS 185mm2 (155mb/190mb), w przedmiarze zaś widnieją pozycje 2.1.1.2.1 w której jest układanie 5x155-775mb kabla YKXS 0,6/1,0kV 1x120 oraz 2.1.1.22 w której jest układanie 5x35-175mb kabla YKXS 0,6/1,0kV 1x120. Jeżeli wymagany przekrój ma być zgodny z projektem tj. 185mm2, to należałoby uaktualnić pozycje przedmiaru 2.1.1.2.1 - 2.1.1.2.3 oraz 2.1.1.2.5.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Między stacją transformatorową a złączem ZKB1n należy ułożyć kable 5xYKXS 185mm2.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7.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opisie elektrycznym, na rzutach oraz z zestawieniu kablowym jest informacja o ułożeniu kabla o przekroju 185mm2 w relacji ST-5 do ZKB1n. W załączonym kosztorysie nie ma pozycji z kablem o tym przekroju. Proszę o informację, czy Wykonawca ma przewidzieć kabel 185mm2 zgodnie z projektem, czy kabel 120mm2 co sugeruje kosztorys.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Między stacją transformatorową a złączem ZKB1n należy ułożyć kable 5xYKXS 185mm2.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8.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Wykonawca wnosi o wyjaśnienie wątpliwości polegającej na różnicy w doborze mocy jawnej dla jednostki chłodzącej. W opisie OPZ w pkt. 4.1 Zamawiający wskazuje wymóg 22,00kW mocy jawnej netto dla każdej jednostki, łącznie 2 szt. pracują + 1 szt. redundantna. Natomiast w opisie załączonej karty doborowej Zamawiający wskazuje 29,1kW Net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Sensible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cooling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capasity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>. Wykonawca prosi o podanie, która z wielkości jest prawidłowa, celem przyjęcia jej przy doborze urządzeń w ofercie.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Wykonawca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ma trzymać się dwóch parametrów 22,00kW mocy jawnej i braku przekroczenia temperatury 30 st. w korytarzu ciepłym.  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Parametr mocy brutto  wynika z  technologii poszczególnego producenta i nie jest wytyczną w tym przetargu.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9.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Wykonawca wnosi o obniżenie 5% zabezpieczenia należytego wykonania umowy do 3%, w celu zmniejszenia obciążenia finansowego Wykonawcy zważywszy na fakt, iż Zamawiający nie przewiduje płatności częściowych i Wykonawca jest zobowiązany do kredytowania całości inwestycji.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wyraża zgodę na obniżenie wartości należytego wykonania umowy do 3%.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10.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Wykonawca prosi o potwierdzenie, iż roboty budowlane objęte przedmiotem zamówienia nie są wykonywane na podstawie wydanej decyzji pozwolenia na budowę i nie jest wymagane prowadzenie dziennika budowy.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Zgodnie z pkt. 13 opisu projektu wykonawczego.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6C2127" w:rsidRPr="006C2127">
              <w:rPr>
                <w:rFonts w:ascii="Arial" w:hAnsi="Arial" w:cs="Arial"/>
                <w:b/>
                <w:sz w:val="24"/>
                <w:szCs w:val="24"/>
              </w:rPr>
              <w:t>1.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 Czy Zamawiający dysponuje decyzją Urzędu dotyczącą trybu realizacji prac (pozwolenia budowlanego, zgłoszenia lub jego braku?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Zgodnie z pkt. 13 opisu projektu wykonawczego.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12.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Proszę o wskazanie czy Zamawiający bezwzględnie wymaga posadowienia agregatu na kostce brukowej czy też dopuszcza ustawienie agregatu na płycie betonowej lub fundamencie betonowym?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Zgodnie z pkt. 6 opisu projektu wykonawczego.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13.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Czy prace objęte projektem w zakresie adaptacji pomieszczeń na potrzeby techniczne i serwerowni wiążą się ze zmianą przeznaczenia pomieszczeń?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Zgodnie z pkt. 13 opisu projektu wykonawczego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14.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Dla drzwi DZ1 określono wymagania w zakresie dymoszczelności i jednocześnie wymaga się otworu z kratką pęczniejącą o przekroju nie mniejszym niż 0,022m2. Te dwa wymagania się wykluczają, ponieważ otwór z kratką pęczniejąca nie zapewnia dymoszczelności. Otwór z kratka pęczniejąca uszczelni się dopiero po odpowiednim nagrzaniu (np. w wyniku pożaru) i wtedy będzie zapewniał szczelność– tj. tworzył zaporę ogniową odpowiedniej klasy. Proszę zatem o doprecyzowanie wymagań czy drzwi mają być dymoszczelne, czy też wyposażone w kratkę wentylacyjną pęczniejącą?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Wszystkie zaprojektowane drzwi przeciwpożarowe zgodnie z przyjętym systemem posiadają dymoszczelność, co jest wynikiem przyjętego standardu i przeprowadzonych badań producenta. W przypadku drzwi DZ1 nadrzędna jest kratka pęczniejąca. 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15.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Zamawiający dla drzwi określił wymagania w zakresie okuć, gdzie wskazuje zastosowanie zamków rozporowych, dodatkowo np. dla drzwi DZ1 i D2 dodatkowy zamek i elektro-zaczep, a jednocześnie zamki samoryglujące elektryczne. Proszę o doprecyzowanie tych wymagań ze względu na występowanie sprzeczności co do zastosowania zamków?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Zastosowanie zamka elektrycznego EL566 i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elektrozaczepu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rewersyjnego 332 jest słusznym rozwiązaniem, ponieważ pozwala zachować dwustronną kontrolę dostępu i funkcję ewakuacyjną drzwi (sterowanych elektrycznie na drodze ewakuacyjnej). Nie ma sprzeczności w przedstawionym rozwiązaniu.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 xml:space="preserve">Gdyby zrezygnować z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elektrozaczepu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 xml:space="preserve"> na zamku dodatkowym to mielibyśmy tylko jednostronną kontrolę dostępu. Gdyby zrezygnować z zamka rozporowego elektrycznego na rzecz mechanicznego, to też mielibyśmy tylko jednostronną kontrolę dostępu, ponieważ dźwignia przy naciśnięciu posiada micro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switch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 xml:space="preserve">, który zawsze odblokowuje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elektrozaczep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>. W związku z powyższym należy wykonać zgodnie z dokumentacją projektową.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16.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Czy Zamawiający wykonał ekspertyzę nośności ścian w których mają zostać zamontowane wymagane drzwi Przeciwpożarowe EI60 EI30 w klasie Antywłamaniowej RC4. Z uwagi na ciężar w/w drzwi, których waga przy podanych parametrach EI60 EI30 oraz klasie RC4 wynosi ok 160-180 kg. Należy odpowiednio przygotować/ wzmocnić otwór, aby uniknąć napięcia, które przy tej wadze może doprowadzić do uszkodzenia ścianki wokół ościeżnicy.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Nie wykonano ekspertyzy nośności ścian. Drzwi będą ważyły około 150kg. Drzwi mogą być montowane w ścianach o gr. minimum 115 mm: murowanych z cegły ceramicznej, bloczków ceramicznych, cegły silikatowej, z betonu komórkowego, betonowych i żelbetowych. Dopuszcza się także montaż w konstrukcji stalowej. Ważne żeby była zakotwiona do podłogi i do stropu.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17.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Czy zamawiający dopuszcza odporność ogniową dla drzwi EI60 wg PN-EN 13501-2+A1:2009, norma ta jest aktualną normą zapewniającą odpowiednią ognioodporność dla wymaganych drzwi EI60.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PN-EN 13501-2+A1:2009 jest normą badania odporności ogniowej (klasyfikacyjną), a PN-EN 16034:2014 jest normą dla całego wyrobu, jakim są drzwi. One nie stoją ze sobą w sprzeczności, tylko odnoszą się do innych zakresów. Przyjęte w dokumentacji projektowej drzwi ppoż. RC4 uwzględniają w badaniach PN-EN 13501.</w:t>
            </w:r>
          </w:p>
          <w:p w:rsidR="00E74932" w:rsidRP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127">
              <w:rPr>
                <w:rFonts w:ascii="Arial" w:hAnsi="Arial" w:cs="Arial"/>
                <w:b/>
                <w:sz w:val="24"/>
                <w:szCs w:val="24"/>
              </w:rPr>
              <w:t>18.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Zamawiający we wzorze umowy w &amp;14 Kary umowne pkt. 1 podał wysokość kary za nieterminową realizację przedmiotu umowy tj. 0,2% wynagrodzenia umownego netto za każdy dzień zwłoki. Zamawiający w poprzednim postępowaniu wyraził zgodę na zmniejszenie wysokości kary umownej do 0,1% wynagrodzenia umownego netto za każdy dzień zwłoki. Zwracamy się do Zamawiającego o przywrócenie wysokości kary umownej z unieważnionego wcześniej postępowania. </w:t>
            </w:r>
          </w:p>
          <w:p w:rsidR="00E74932" w:rsidRDefault="006C212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 w:rsidR="00AA1EB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wyraża zgodę na obniżenie wysokości kary umownej do 0,1% wynagrodzenia umownego netto za każdy dzień zwłoki.</w:t>
            </w:r>
          </w:p>
          <w:p w:rsidR="00AA1EB7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Jednocześnie zamawiający obniża karę umowną z 0,2% na 0,1% </w:t>
            </w:r>
            <w:r w:rsidRPr="00AA1EB7">
              <w:rPr>
                <w:rFonts w:ascii="Arial" w:hAnsi="Arial" w:cs="Arial"/>
                <w:sz w:val="24"/>
                <w:szCs w:val="24"/>
              </w:rPr>
              <w:t>wynagrodzenia umownego netto za każdy dzień zwłoki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1EB7">
              <w:rPr>
                <w:rFonts w:ascii="Arial" w:hAnsi="Arial" w:cs="Arial"/>
                <w:sz w:val="24"/>
                <w:szCs w:val="24"/>
              </w:rPr>
              <w:t>w dokonywaniu przez Zamawiającego odbioru przedmiotu</w:t>
            </w:r>
            <w:r w:rsidR="002B23EB">
              <w:rPr>
                <w:rFonts w:ascii="Arial" w:hAnsi="Arial" w:cs="Arial"/>
                <w:sz w:val="24"/>
                <w:szCs w:val="24"/>
              </w:rPr>
              <w:t xml:space="preserve"> (§</w:t>
            </w:r>
            <w:r>
              <w:rPr>
                <w:rFonts w:ascii="Arial" w:hAnsi="Arial" w:cs="Arial"/>
                <w:sz w:val="24"/>
                <w:szCs w:val="24"/>
              </w:rPr>
              <w:t>14 Kary umowne pkt. 8).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19.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Czy w przedmiarach ujęto układanie przewodów zasilających z rozdzielnic TAU i TB do szaf S1-S10 (tory TA i TB)? Jeżeli tak, to w których pozycjach.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Pozycja 1.4.4.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20.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projekcie w części IT w opisie wymagań dotyczących rejestratora w punkcie 11.1 widnieje zapis: "- Zainstalowanie 2 dyski min. HDD min. 18TB każdy". Czy to oznacza, że rejestrator ma mieć  zainstalowane dwa dyski o pojemności minimum 18TB? W przedmiarach są dwa dyski SATA 10TB.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Minimum 18 TB sumarycznej pojemności zapisu (np. 2 dyski po 10 TB).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21.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projekcie w części IT w opisie wymagań dotyczących rejestratora w punkcie 11.1 widnieją zapisy: "− Wbudowany 16-portowy Switch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o maksymalnej mocy 150W lub zewnętrzny − 1-8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porty dla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ePoE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EoC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". Czy to oznacza, że można zastosować rejestrator bez wbudowanego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switcha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i dodatkowy zewnętrzny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switch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PoE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dopuszcza takie rozwiązanie.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22.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projekcie w części IT w opisie wymagań dotyczących kamer wewnętrznych w punkcie 11.1 widnieje zapis: "oświetlacz: 3 diody IR LED (zasięg 30m)". Czy Zamawiający dopuszcza zastosowanie kamer o innej liczbie diod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led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oświetlaczu, przy tym samym deklarowanym przez producenta zasięgu?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nie dopuszcza zastosowania kamer o innej liczbie diod LED w oświetlaczu. 3 diody SMD cechuje długa żywotność, mały pobór prądu i zmniejszone ryzyko prześwietlania sceny.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23.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projekcie w części IT w opisie wymagań dotyczących kamery zewnętrznej w punkcie 11.1 widnieje zapis: "oświetlacz: 1 dioda IR LED (zasięg 30m)". Czy Zamawiający dopuszcza zastosowanie kamer o innej liczbie diod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led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oświetlaczu, przy tym samym deklarowanym przez producenta zasięgu?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nie dopuszcza zastosowania kamer o innej liczbie diod LED w oświetlaczu. Diody SMD cechuje długa żywotność, mały pobór prądu i zmniejszone ryzyko prześwietlania sceny.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24.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 W projekcie w części IT w opisie wymagań dotyczących kamery zewnętrznych w punkcie 11.1 widnieje zapis: "− obsługa kart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microSD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microSDHC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microSDXC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do 256GB". Uważamy, iż ten zapis jest zbędny, gdyż Zamawiający raczej nie będzie korzystał z zapisu wideo na kartach SD instalowanych w kamerze, skoro będzie zapis na rejestratorze. Zapis ogranicza możliwość zastosowania  konkurencyjnych kamer. Czy zamawiający dopuszcza zastosowanie kamery bez obsługi kart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microSD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microSDHC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/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microSDXC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do 256GB?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ma mieć możliwość instalacji karty na wypadek awarii rejestratora.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1EB7">
              <w:rPr>
                <w:rFonts w:ascii="Arial" w:hAnsi="Arial" w:cs="Arial"/>
                <w:b/>
                <w:sz w:val="24"/>
                <w:szCs w:val="24"/>
              </w:rPr>
              <w:t>25.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projekcie w części IT w punkcie "12.6. Rozdzielacz wizji" widnieje zapis "Urządzenie pełni funkcję rozdzielacza wideo z 4 wyjściami ze wzmacniaczem. Rozdzielacz jest dedykowany dla projektowanego systemu". To sugeruje, że wyjście sygnału video z panelu wejściowego oraz jego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przesył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jest analogowy. Czy Zamawiający dopuszcza zastosowanie systemu, w którym sygnał video będzie przesyłany w sposób cyfrowy lub rozwiązanie, w którym rozdzielacz wideo nie jest wymagany?</w:t>
            </w:r>
          </w:p>
          <w:p w:rsidR="00E74932" w:rsidRPr="00E74932" w:rsidRDefault="00AA1EB7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dopuszcza zastosowanie systemu, w którym sygnał wideo będzie przesyłany w sposób cyfrowy lub rozwiązanie, w którym rozdzielacz wideo nie jest wymagany.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26.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przedmiarze w części IT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widnieje pozycja 1.3.4.2.3, których przedmiotem jest montaż "Moduł komunikacyjny TCP/IP". W projekcie nie ma wzmianki o tym elemencie systemu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>. Czy ma zostać zainstalowany? Jeżeli tak, to jakie parametry powinien spełniać?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Moduł komunikacyjny umożliwia nawiązanie łączności z centralą alarmową przy pomocy sieci internetowej. Moduł powinien być montowany w tej samej obudowie, co centrala alarmowa. Ułatwia to połączenie portów RS-232 centrali i modułu, co jest wymagane, jeżeli centrala ma być konfigurowana przez sieć Ethernet.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27.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przedmiarze w części IT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widnieje pozycja 1.3.4.2.4, których przedmiotem jest montaż "Moduł komunikacyjny GSM/GPRS (w komplecie obudowa, antena)". W projekcie nie ma wzmianki o tym elemencie systemu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>. Czy ma zostać zainstalowany? Jeżeli tak, to jakie parametry powinien spełniać?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Moduł komunikacyjny z obsługą standardu LTE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konwersja monitoringu telefonicznego na formaty audio / SMS / LTE / Ethernet / GPRS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przesyłanie powiadomień do min. 4 numerów telefonów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powiadamianie: audio / SMS / PUSH / CLIP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konwersja komunikatów PAGER na SMS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programowalne wejścia (NO, NC)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wyjścia (OC) sterowane za pomocą SMS / CLIP / DTMF / aplikacji mobilnej / oprogramowanie dedykowane dla stacji roboczych (komputer PC)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obsługa dwóch kart SIM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 xml:space="preserve">obsługa Dual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Path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 xml:space="preserve"> Reporting zgodnie EN 50136*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symulowanie linii telefonicznej poprzez GSM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przełączanie na GSM przy awarii linii telefonicznej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bramka GSM dla central telefonicznych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 xml:space="preserve">współpraca z aplikacją mobilną 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możliwość zdalnej aktualizacji oprogramowania (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firmware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wymagana antena i obudowa do modułu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28.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przedmiarze w części IT </w:t>
            </w:r>
            <w:proofErr w:type="spellStart"/>
            <w:r w:rsidR="00E74932" w:rsidRPr="00E74932">
              <w:rPr>
                <w:rFonts w:ascii="Arial" w:hAnsi="Arial" w:cs="Arial"/>
                <w:sz w:val="24"/>
                <w:szCs w:val="24"/>
              </w:rPr>
              <w:t>SSWiN</w:t>
            </w:r>
            <w:proofErr w:type="spellEnd"/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widnieje pozycja 1.3.4.2.6, których przedmiotem jest montaż "Interfejs do integracji systemów". W projekcie brakuje opisu tego elementu. Jakie parametry powinien spełniać i jaką funkcję pełnić?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Interfejs umożliwia programową integrację systemów alarmowych.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Interfejs do integracji systemów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interfejs RS-232 dołączany do magistrali manipulatorów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obsługa monitoringu przez RS-232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otwarty protokół do integracji z innymi systemami (wymaga implementacji protokołu RS-232 po stronie obcego systemu)</w:t>
            </w:r>
          </w:p>
          <w:p w:rsidR="00E74932" w:rsidRPr="00E74932" w:rsidRDefault="00E74932" w:rsidP="00E74932">
            <w:pPr>
              <w:numPr>
                <w:ilvl w:val="0"/>
                <w:numId w:val="10"/>
              </w:num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separacja galwaniczna zabezpieczająca przed różnicą potencjałów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29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Podłoga na gruncie: 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ab/>
              <w:t>Czy wymagane podłoże w pomieszczeniach: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1. Przedsionek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2. Serwerownia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Które należy wykonać z żywicy epoksydowej powinno zostać wykonane z materiałów/ żywicy epoksydowej odprowadzającej ładunki Elektrostatyczne?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Należy zastosować standardowe rozwiązanie z żywicy epoksydowej.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30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Usuwanie odpadów/ gruzu: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Czy Zamawiający przewiduje stałe miejsce posadowienia kontenera na gruz i odpady na czas trwania</w:t>
            </w:r>
            <w:r w:rsidR="008564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>inwestycji?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przewiduje do uzgodnienia miejsce posadowienia kontenera na gruz i odpady na czas trwania inwestycji w zależności od potrzeb budowy i usytuowanie ich w taki sposób aby skład gruzu w kontenerach nie utrudniał dostępu do obiektów Politechniki Częstochowskiej.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31.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Czy Zamawiający wyrazi zgodę na wprowadzenie płatności częściowych w realizacji Zadania? Szacowana wartość Zamówienia przekracza kwotę 5 mln brutto, a termin realizacji wyniesie ponad 6 miesięcy, dlatego płatności częściowe w znacznym stopniu ułatwią realizację Zadania. Należy pamiętać, że akceptacja takich warunków płatności będzie pozwalała na ograniczenie kredytowania Zadania, a tym samym na obniżenie wartości oferty. 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informuje, iż termin realizacji jest krótszy niż wskazywane 6 miesięcy. Zamawiający nie wyraża zgody na wprowadzenie płatności częściowych.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32.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Czy Zamawiający wyrazi zgodę na wydłużenie terminu realizacji zadania do 210 dni? Szeroki zakres realizacji Zamówienia nie pozwala na realizację Zadania w wyznaczonym przez Zamawiającego terminie realizacji.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Zamawiający nie wyraża zgody na wydłużenie terminu realizacji do 210 dni. Zamawiający już wydłużył termin realizacji ze 150 na 175 dni.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64BB">
              <w:rPr>
                <w:rFonts w:ascii="Arial" w:hAnsi="Arial" w:cs="Arial"/>
                <w:b/>
                <w:sz w:val="24"/>
                <w:szCs w:val="24"/>
              </w:rPr>
              <w:t>33.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W dokumentacji przetargowej Zamawiający określił wymagania dotyczące migracji systemów do nowej serwerowni oraz określił warunki tego procesu. Na szczególną uwagę zasługuje fakt, iż prace te wymagają wiedzy oraz doświadczenia technicznego, a brak pełnej informacji na temat migrowanego środowiska nie pozwala na rzetelną wycenę tego zakresu Zadania. W związku z powyższym zwracamy się z uprzejmą prośbą o przedstawienie pełnej listy urządzeń, które będą podlegać migracji, a w przypadku braku takiej możliwości wnioskujemy o określenie warunków brzegowych (certyfikaty/doświadczenie zawodowe), jakie muszą spełniać osoby zaangażowane w proces migracji. Informacja taka jest niezbędna, aby prawidłowo określić czas-okres tej części zadania oraz koszty jej realizacji.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bCs/>
                <w:sz w:val="24"/>
                <w:szCs w:val="24"/>
              </w:rPr>
              <w:t>Zamawiający informuje, że posiada następujące urządzenia, które będzie chciał przenieść: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>Firewall SOPHOS XG5500 (2 szt.) – gwarancja 60 miesięcy od 10.2021.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Macierz dyskowa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OceanStore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5500 v5 - gwarancja 60 miesięcy od 04.2019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Serwer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2288H V5 (4 szt.) – gwarancja 60 miesięcy od 07.2020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Serwer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2288H V5 (3 szt.) – gwarancja 60 miesięcy od 08.2020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Serwer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5288 V5 (1 szt.) – gwarancja 60 miesięcy od 12.2020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Switch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Brocade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G610 (2 szt.) – gwarancja 60 miesięcy od 07.2020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>Robot HP MSL 4048 (1 szt.) – gwarancja 60 miesięcy od 03.2019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>Migracja systemów do nowej serwerowni została opisana w projekcie budowlanym (branża: instalacje elektryczne niskoprądowe) w pkt. 6.3, 6.4. Niezbędne kwalifikacje pracowników wykonawcy zostały opisane w STWIOR (branża: instalacje elektryczne niskoprądowe) w pkt. 6.4.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br w:type="page"/>
            </w:r>
            <w:r w:rsidR="008564BB" w:rsidRPr="008564BB">
              <w:rPr>
                <w:rFonts w:ascii="Arial" w:hAnsi="Arial" w:cs="Arial"/>
                <w:b/>
                <w:bCs/>
                <w:sz w:val="24"/>
                <w:szCs w:val="24"/>
              </w:rPr>
              <w:t>34.</w:t>
            </w:r>
            <w:r w:rsidR="008564B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W związku z odpowiedziami na pytania nr 20 i 21 czy zamawiający dopuszcza system oparty na stale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zaterminowanym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 xml:space="preserve"> na kablu złączu RJ45 kat. 8.1 kompatybilnym w dół z kat.6/6A/5e?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>Zastosowanie złącza 2GHz zagwarantuje możliwość wymiany interfejsu końcowego pomiędzy RJ45 i TERA.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 xml:space="preserve">Zastosowanie złącza TERA  zapewni opcję dzielenia sygnału idącego po jednym kablu </w:t>
            </w:r>
            <w:proofErr w:type="spellStart"/>
            <w:r w:rsidRPr="00E74932">
              <w:rPr>
                <w:rFonts w:ascii="Arial" w:hAnsi="Arial" w:cs="Arial"/>
                <w:sz w:val="24"/>
                <w:szCs w:val="24"/>
              </w:rPr>
              <w:t>skrętkowym</w:t>
            </w:r>
            <w:proofErr w:type="spellEnd"/>
            <w:r w:rsidRPr="00E74932">
              <w:rPr>
                <w:rFonts w:ascii="Arial" w:hAnsi="Arial" w:cs="Arial"/>
                <w:sz w:val="24"/>
                <w:szCs w:val="24"/>
              </w:rPr>
              <w:t xml:space="preserve"> w zależności od wymaganej aplikacji przesyłanej do użytkownika końcowego (4xTEL lub 2x 100Mbs lub 1xGbs lub 1x10Gbs). Opcja ta jest niedostępna przy zastosowaniu złącza kat. 8.1 którym jest standardowy RJ45.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Dodatkowo zastosowanie rozwiązania złącza 2GHz daje możliwość migracji gniazd końcowych pomiędzy kategoriami:5e, 6, 6A, 7, 7A co zapewnia dużo większą elastyczność systemu.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Należy zastosować zaprojektowane rozwiązania.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br w:type="page"/>
            </w:r>
            <w:r w:rsidR="008564BB" w:rsidRPr="008564BB">
              <w:rPr>
                <w:rFonts w:ascii="Arial" w:hAnsi="Arial" w:cs="Arial"/>
                <w:b/>
                <w:sz w:val="24"/>
                <w:szCs w:val="24"/>
              </w:rPr>
              <w:t>35.</w:t>
            </w:r>
            <w:r w:rsidR="008564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>dotyczy - Migracja systemów do nowej serwerowni Zamawiający wymaga aby Wykonawca w ramach zadania przeniósł infrastrukturę z 2 serwerowni między innymi urządzeń aktywnych i serwerów. "W tym celu Wykonawca zabezpieczy sprzęt zastępczy taki sam lub równoważny na wypadek niezadziałania po wyczyszczeniu i przeniesieniu starego sprzętu do nowej serwerowni. Sprzęt zastępczy należy posiadać ze sobą podczas prowadzonych prac w ilości minimum 1 sztuka każdego elementu sieci." Prosimy o wykaz urządzeń które należy przenieść w ramach zadania.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E74932" w:rsidRPr="00E74932">
              <w:rPr>
                <w:rFonts w:ascii="Arial" w:hAnsi="Arial" w:cs="Arial"/>
                <w:bCs/>
                <w:sz w:val="24"/>
                <w:szCs w:val="24"/>
              </w:rPr>
              <w:t>Zamawiający informuje, że posiada następujące urządzenia, które będzie chciał przenieść: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>Firewall SOPHOS XG5500 (2 szt.) – gwarancja 60 miesięcy od 10.2021.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Macierz dyskowa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OceanStore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5500 v5 - gwarancja 60 miesięcy od 04.2019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Serwer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2288H V5 (4 szt.) – gwarancja 60 miesięcy od 07.2020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Serwer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2288H V5 (3 szt.) – gwarancja 60 miesięcy od 08.2020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Serwer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Huawei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5288 V5 (1 szt.) – gwarancja 60 miesięcy od 12.2020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Switch </w:t>
            </w:r>
            <w:proofErr w:type="spellStart"/>
            <w:r w:rsidRPr="00E74932">
              <w:rPr>
                <w:rFonts w:ascii="Arial" w:hAnsi="Arial" w:cs="Arial"/>
                <w:bCs/>
                <w:sz w:val="24"/>
                <w:szCs w:val="24"/>
              </w:rPr>
              <w:t>Brocade</w:t>
            </w:r>
            <w:proofErr w:type="spellEnd"/>
            <w:r w:rsidRPr="00E74932">
              <w:rPr>
                <w:rFonts w:ascii="Arial" w:hAnsi="Arial" w:cs="Arial"/>
                <w:bCs/>
                <w:sz w:val="24"/>
                <w:szCs w:val="24"/>
              </w:rPr>
              <w:t xml:space="preserve"> G610 (2 szt.) – gwarancja 60 miesięcy od 07.2020</w:t>
            </w:r>
          </w:p>
          <w:p w:rsidR="00E74932" w:rsidRPr="00E74932" w:rsidRDefault="00E74932" w:rsidP="00E74932">
            <w:pPr>
              <w:numPr>
                <w:ilvl w:val="0"/>
                <w:numId w:val="9"/>
              </w:numPr>
              <w:spacing w:after="24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4932">
              <w:rPr>
                <w:rFonts w:ascii="Arial" w:hAnsi="Arial" w:cs="Arial"/>
                <w:bCs/>
                <w:sz w:val="24"/>
                <w:szCs w:val="24"/>
              </w:rPr>
              <w:t>Robot HP MSL 4048 (1 szt.) – gwarancja 60 miesięcy od 03.2019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br w:type="page"/>
            </w:r>
            <w:r w:rsidR="008564BB" w:rsidRPr="008564BB">
              <w:rPr>
                <w:rFonts w:ascii="Arial" w:hAnsi="Arial" w:cs="Arial"/>
                <w:b/>
                <w:sz w:val="24"/>
                <w:szCs w:val="24"/>
              </w:rPr>
              <w:t>36.</w:t>
            </w:r>
            <w:r w:rsidR="008564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>Zamawiający wymaga 3 klimatyzatorów  rzędowych o mocy minimalnej 22 kW –moc jawna każdy ( 25 kW, moc całkowita) przy czym łącznie zyski ciepła w pomieszczeniu: 43,0 kW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Czy Zamawiający zaakceptuje rozwiązanie o mocy jawnej 22 kW i mocy całkowitej 22 kW?. Moc całkowita to moc jawna plus moc traconą na wykroplenie. Moc tracona na wykroplenie w naszej propozycji równa jest zeru.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Moc tracona na wykroplenie jest de facto mocą strat i nie bierze udziału w odbieraniu ciepła z urządzeń.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Oznacza to że 2 szafy o mocy jawnej 22 kW (trzecia jako redundancja) dając 44 kW wystarczą z zapasem do pokrycia zysków ciepła.</w:t>
            </w:r>
          </w:p>
          <w:p w:rsidR="00E74932" w:rsidRPr="00E74932" w:rsidRDefault="008564BB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8564BB">
              <w:rPr>
                <w:rFonts w:ascii="Arial" w:hAnsi="Arial" w:cs="Arial"/>
                <w:bCs/>
                <w:i/>
                <w:iCs/>
                <w:sz w:val="24"/>
                <w:szCs w:val="24"/>
              </w:rPr>
              <w:t>Wykon</w:t>
            </w:r>
            <w:r w:rsidR="00E74932" w:rsidRPr="008564BB">
              <w:rPr>
                <w:rFonts w:ascii="Arial" w:hAnsi="Arial" w:cs="Arial"/>
                <w:sz w:val="24"/>
                <w:szCs w:val="24"/>
              </w:rPr>
              <w:t>awca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ma trzymać się dwóch parametrów 22,00kW mocy jawnej i braku przekroczenia temperatury 30 st. w korytarzu ciepłym.  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t>Parametr mocy brutto  wynika z  technologii poszczególnego producenta i n</w:t>
            </w:r>
            <w:r w:rsidR="004C7D5C">
              <w:rPr>
                <w:rFonts w:ascii="Arial" w:hAnsi="Arial" w:cs="Arial"/>
                <w:sz w:val="24"/>
                <w:szCs w:val="24"/>
              </w:rPr>
              <w:t>ie jest wytyczną w tym postępowaniu</w:t>
            </w:r>
            <w:r w:rsidRPr="00E7493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C7D5C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4932">
              <w:rPr>
                <w:rFonts w:ascii="Arial" w:hAnsi="Arial" w:cs="Arial"/>
                <w:sz w:val="24"/>
                <w:szCs w:val="24"/>
              </w:rPr>
              <w:br w:type="page"/>
            </w:r>
            <w:r w:rsidR="004C7D5C" w:rsidRPr="004C7D5C">
              <w:rPr>
                <w:rFonts w:ascii="Arial" w:hAnsi="Arial" w:cs="Arial"/>
                <w:b/>
                <w:sz w:val="24"/>
                <w:szCs w:val="24"/>
              </w:rPr>
              <w:t>37.</w:t>
            </w:r>
            <w:r w:rsidR="004C7D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74932">
              <w:rPr>
                <w:rFonts w:ascii="Arial" w:hAnsi="Arial" w:cs="Arial"/>
                <w:sz w:val="24"/>
                <w:szCs w:val="24"/>
              </w:rPr>
              <w:t xml:space="preserve">W związku z Państwa odpowiedzią z dnia 3.08.2023, iż Zamawiający nie dopuszcza częściowych odbiorów oraz płatności częściowych, zwracamy się z pytaniem, czy postanowienie §10 ust. 5 umowy na roboty budowlane o treści „Zamawiający na podstawie art. 509 k.c. zastrzega zakaz dokonywania cesji wierzytelności wynikających z niniejszej umowy” oznacza także zakaz dokonania przelewu wierzytelności wynagrodzenia przysługującego Wykonawcy z tytułu umowy jako zabezpieczenia udzielonego przez bank finansowania Wykonawcy, czy jedynie odnosi się do zakazu cesji praw i obowiązków wynikających z umowy o udzielenie zamówienia publicznego? Zwracamy się do Zamawiającego o dopuszczenie cesji wierzytelności wynikających z wynagrodzenia przysługującego Wykonawcy z tytułu umowy jako zabezpieczenia udzielonego przez bank. Przelew wynagrodzenia wykonawcy z umowy jest często zabezpieczeniem wierzytelności banków, które udzielają kredytów na sfinansowanie projektu. W ofercie banków cesja wierzytelności wynagrodzenia jest wskazywana jako zabezpieczenie udzielenia finansowania dla wykonawcy. W praktyce wykonawca może mieć ułatwioną lub utrudnioną drogę do uzyskania koniecznego do realizacji zamówienia finansowania w zależności od możliwości dokonania cesji z umowy. Wprowadzenie zakazu cesji wierzytelności z umowy obejmującego wynagrodzenie wykonawcy może być ograniczeniem i utrudnieniem dla małego i średniego przedsiębiorcy, w szczególności w sytuacji, gdy Zamawiający wyłączył zaliczki, częściowe odbiory oraz płatności częściowe. </w:t>
            </w:r>
          </w:p>
          <w:p w:rsidR="004C7D5C" w:rsidRPr="004C7D5C" w:rsidRDefault="004C7D5C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D5C">
              <w:rPr>
                <w:rFonts w:ascii="Arial" w:hAnsi="Arial" w:cs="Arial"/>
                <w:b/>
                <w:i/>
                <w:sz w:val="24"/>
                <w:szCs w:val="24"/>
              </w:rPr>
              <w:t>Odpowiedź: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Zamawiający nie dopuszcza cesji dokonanej bez swojej wiedz i zgody. Powyższe nie wyklucza ewentualnej zgodny na cesję wierzytelności na bank w sytuacji opisanej przez Wykonawcę</w:t>
            </w:r>
          </w:p>
          <w:p w:rsidR="00E74932" w:rsidRPr="00E74932" w:rsidRDefault="004C7D5C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7D5C">
              <w:rPr>
                <w:rFonts w:ascii="Arial" w:hAnsi="Arial" w:cs="Arial"/>
                <w:b/>
                <w:sz w:val="24"/>
                <w:szCs w:val="24"/>
              </w:rPr>
              <w:t>38.</w:t>
            </w:r>
            <w:r w:rsidR="00E74932" w:rsidRPr="00E74932">
              <w:rPr>
                <w:rFonts w:ascii="Arial" w:hAnsi="Arial" w:cs="Arial"/>
                <w:sz w:val="24"/>
                <w:szCs w:val="24"/>
              </w:rPr>
              <w:t xml:space="preserve"> §5 ust. 2 umowy zawiera następujące postanowienie: „Wykonawca oświadcza, iż zapoznał się z dostarczoną mu przez Zamawiającego dokumentacją i stwierdza jej kompletność oraz zapoznał się z warunkami rzeczywistymi i uwzględnił je w wynagrodzeniu przewidzianym niniejszą umową oraz w terminie wykonania. Ze względu na ryczałtowy charakter wynagrodzenia, Wykonawca zapewnia, że w przypadku stwierdzenia błędów, braków w dokumentacji, wystąpienia kolizji, czy też napotkania odmiennych od założonych warunków rozwiąże powstałe problemy własnym staraniem i kosztem bez zmiany wynagrodzenia i terminu realizacji, określonych w niniejszej umowie”. Wnosimy o zmianę treści tego postanowienia w świetle przepisów Ustawy PZP, ponieważ zgodnie z treścią art. 433 pkt. 3 ustawy PZP oraz orzecznictwa KIO, za niedopuszczalne należy uznać takie postanowienia umowy, które nakładałyby na wykonawcę odpowiedzialność za wady dokumentacji projektowej, którą Zamawiający przekazał wykonawcy w celu realizacji zamówienia. To samo dotyczy napotkania odmiennych od założonych warunków rzeczywistych, w szczególności tych, o których wykonawca wiedzieć nie mógł. Nie jest rolą wykonawcy analiza czynności Zamawiającego i weryfikacja, czy nie popełnił błędów, przygotowując dokumentację przetargową, jak również nie jest jego rolą dokonywanie analiz i badań mających na celu uzupełnienie tej dokumentacji (wyrok Krajowej Izby Odwoławczej z 19.11.2021r., KIO 3260/21).</w:t>
            </w:r>
          </w:p>
          <w:p w:rsidR="00E74932" w:rsidRPr="004C7D5C" w:rsidRDefault="004C7D5C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Odpowiedź</w:t>
            </w:r>
            <w:r w:rsidR="00E74932" w:rsidRPr="00E7493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: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Brak podstaw do zmiany zapisów umowy. Na etapie realizacji każda sytuacja rozstrzygana jest indywidualnie. </w:t>
            </w:r>
          </w:p>
          <w:p w:rsidR="00E74932" w:rsidRPr="00E74932" w:rsidRDefault="00E74932" w:rsidP="00E74932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06F8B" w:rsidRDefault="00406F8B" w:rsidP="00BC760A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C760A" w:rsidRDefault="00BC760A" w:rsidP="00BC760A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Zamawiający na podstawie art. 286 ust. 1 zmienia SWZ w powyższym zakresie oraz na podstawie art. 286 ust. 3 przedłuża termin składania ofert do dnia </w:t>
            </w:r>
            <w:r w:rsidR="004C7D5C" w:rsidRPr="004C7D5C">
              <w:rPr>
                <w:rFonts w:ascii="Arial" w:hAnsi="Arial" w:cs="Arial"/>
                <w:b/>
                <w:sz w:val="24"/>
                <w:szCs w:val="24"/>
              </w:rPr>
              <w:t>31</w:t>
            </w:r>
            <w:r>
              <w:rPr>
                <w:rFonts w:ascii="Arial" w:hAnsi="Arial" w:cs="Arial"/>
                <w:b/>
                <w:sz w:val="24"/>
                <w:szCs w:val="24"/>
              </w:rPr>
              <w:t>.08.2023r. do godz. 10:00</w:t>
            </w:r>
            <w:r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 w:rsidR="004C7D5C">
              <w:rPr>
                <w:rFonts w:ascii="Arial" w:hAnsi="Arial" w:cs="Arial"/>
                <w:b/>
                <w:sz w:val="24"/>
                <w:szCs w:val="24"/>
              </w:rPr>
              <w:t>31</w:t>
            </w:r>
            <w:r>
              <w:rPr>
                <w:rFonts w:ascii="Arial" w:hAnsi="Arial" w:cs="Arial"/>
                <w:b/>
                <w:sz w:val="24"/>
                <w:szCs w:val="24"/>
              </w:rPr>
              <w:t>.08.2023r. o godz. 11:00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BC760A" w:rsidRDefault="00BC760A" w:rsidP="00BC760A">
            <w:pPr>
              <w:spacing w:after="2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Wykonawca pozostaje z</w:t>
            </w:r>
            <w:r w:rsidR="004C7D5C">
              <w:rPr>
                <w:rFonts w:ascii="Arial" w:hAnsi="Arial" w:cs="Arial"/>
                <w:sz w:val="24"/>
                <w:szCs w:val="24"/>
              </w:rPr>
              <w:t>wiązany ofertą do dnia 2023-09-29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BC760A" w:rsidRDefault="00BC760A" w:rsidP="00BC760A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4C7D5C">
              <w:rPr>
                <w:rFonts w:ascii="Arial" w:hAnsi="Arial" w:cs="Arial"/>
                <w:b/>
                <w:sz w:val="24"/>
                <w:szCs w:val="24"/>
              </w:rPr>
              <w:t>Kanclerz</w:t>
            </w:r>
          </w:p>
          <w:p w:rsidR="00BC760A" w:rsidRDefault="00BC760A" w:rsidP="00BC760A">
            <w:pPr>
              <w:spacing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Politechniki Częstochowskiej</w:t>
            </w:r>
          </w:p>
          <w:p w:rsidR="00E469D0" w:rsidRPr="00E469D0" w:rsidRDefault="004C7D5C" w:rsidP="004C7D5C">
            <w:pPr>
              <w:spacing w:line="360" w:lineRule="auto"/>
              <w:ind w:right="-72"/>
              <w:contextualSpacing/>
              <w:jc w:val="right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="00BC760A">
              <w:rPr>
                <w:rFonts w:ascii="Arial" w:hAnsi="Arial" w:cs="Arial"/>
                <w:b/>
                <w:sz w:val="24"/>
                <w:szCs w:val="24"/>
              </w:rPr>
              <w:t>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inż. Arkadiusz Kociszewski</w:t>
            </w:r>
          </w:p>
        </w:tc>
      </w:tr>
      <w:tr w:rsidR="00E469D0" w:rsidRPr="00E935D6" w:rsidTr="00FC24D0">
        <w:tc>
          <w:tcPr>
            <w:tcW w:w="9356" w:type="dxa"/>
            <w:shd w:val="clear" w:color="auto" w:fill="auto"/>
          </w:tcPr>
          <w:p w:rsidR="00E469D0" w:rsidRPr="00E469D0" w:rsidRDefault="00E469D0" w:rsidP="00E46EBE">
            <w:pPr>
              <w:spacing w:before="360" w:after="360" w:line="360" w:lineRule="auto"/>
              <w:ind w:right="-72"/>
              <w:contextualSpacing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E469D0" w:rsidRPr="00E935D6" w:rsidTr="00FC24D0">
        <w:tc>
          <w:tcPr>
            <w:tcW w:w="9356" w:type="dxa"/>
            <w:shd w:val="clear" w:color="auto" w:fill="auto"/>
          </w:tcPr>
          <w:p w:rsidR="00E469D0" w:rsidRPr="00E469D0" w:rsidRDefault="00E469D0" w:rsidP="00E46EBE">
            <w:pPr>
              <w:spacing w:before="360" w:after="360" w:line="360" w:lineRule="auto"/>
              <w:ind w:right="-72"/>
              <w:contextualSpacing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E469D0" w:rsidRPr="00E935D6" w:rsidTr="00FC24D0">
        <w:tc>
          <w:tcPr>
            <w:tcW w:w="9356" w:type="dxa"/>
            <w:shd w:val="clear" w:color="auto" w:fill="auto"/>
          </w:tcPr>
          <w:p w:rsidR="00E469D0" w:rsidRPr="00E469D0" w:rsidRDefault="00E469D0" w:rsidP="00E46EBE">
            <w:pPr>
              <w:spacing w:before="360" w:after="360" w:line="360" w:lineRule="auto"/>
              <w:ind w:right="-72"/>
              <w:contextualSpacing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E46EBE">
      <w:pPr>
        <w:spacing w:before="360" w:after="360"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229" w:rsidRDefault="00F84229">
      <w:r>
        <w:separator/>
      </w:r>
    </w:p>
  </w:endnote>
  <w:endnote w:type="continuationSeparator" w:id="0">
    <w:p w:rsidR="00F84229" w:rsidRDefault="00F8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0A" w:rsidRDefault="00BC760A" w:rsidP="00BC760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7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9B8B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C760A" w:rsidTr="00BC760A">
      <w:tc>
        <w:tcPr>
          <w:tcW w:w="0" w:type="auto"/>
          <w:vAlign w:val="center"/>
        </w:tcPr>
        <w:p w:rsidR="00BC760A" w:rsidRDefault="00BC760A" w:rsidP="00BC760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C760A" w:rsidRDefault="00BC760A" w:rsidP="00BC760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C760A" w:rsidRDefault="00BC760A" w:rsidP="00BC760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C760A" w:rsidRDefault="00BC760A" w:rsidP="00BC760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C760A" w:rsidRDefault="00BC760A" w:rsidP="00BC760A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C760A" w:rsidRDefault="00BC760A" w:rsidP="00BC760A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BC760A" w:rsidRDefault="00BC760A" w:rsidP="00BC760A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Default="00BC760A" w:rsidP="00BC760A">
    <w:pPr>
      <w:rPr>
        <w:rFonts w:ascii="Arial" w:hAnsi="Arial"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23EB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229" w:rsidRDefault="00F84229">
      <w:r>
        <w:separator/>
      </w:r>
    </w:p>
  </w:footnote>
  <w:footnote w:type="continuationSeparator" w:id="0">
    <w:p w:rsidR="00F84229" w:rsidRDefault="00F84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9D0" w:rsidRDefault="00E46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0A" w:rsidRDefault="00BC760A" w:rsidP="00BC760A">
    <w:pPr>
      <w:tabs>
        <w:tab w:val="center" w:pos="4536"/>
        <w:tab w:val="right" w:pos="9072"/>
      </w:tabs>
      <w:spacing w:after="160" w:line="254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9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A9019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8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C760A" w:rsidRDefault="00BC760A" w:rsidP="00BC760A">
    <w:pPr>
      <w:pStyle w:val="Nagwek"/>
    </w:pPr>
  </w:p>
  <w:p w:rsidR="00BC760A" w:rsidRDefault="00BC760A" w:rsidP="00BC760A">
    <w:pPr>
      <w:pStyle w:val="Nagwek"/>
    </w:pPr>
  </w:p>
  <w:p w:rsidR="00E469D0" w:rsidRDefault="00E46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9D0" w:rsidRDefault="00E469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22093D"/>
    <w:multiLevelType w:val="hybridMultilevel"/>
    <w:tmpl w:val="3BACC172"/>
    <w:lvl w:ilvl="0" w:tplc="D42AF5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90A07"/>
    <w:multiLevelType w:val="hybridMultilevel"/>
    <w:tmpl w:val="DF88EE8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D951173"/>
    <w:multiLevelType w:val="hybridMultilevel"/>
    <w:tmpl w:val="3B163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A9"/>
    <w:rsid w:val="00031374"/>
    <w:rsid w:val="000518C0"/>
    <w:rsid w:val="000A1097"/>
    <w:rsid w:val="000E2A8F"/>
    <w:rsid w:val="0012774F"/>
    <w:rsid w:val="00144B7A"/>
    <w:rsid w:val="00180C6E"/>
    <w:rsid w:val="0029606A"/>
    <w:rsid w:val="002B23EB"/>
    <w:rsid w:val="00406F8B"/>
    <w:rsid w:val="004848F3"/>
    <w:rsid w:val="004A75F2"/>
    <w:rsid w:val="004C7D5C"/>
    <w:rsid w:val="005144A9"/>
    <w:rsid w:val="00520165"/>
    <w:rsid w:val="005B1B08"/>
    <w:rsid w:val="00632C3C"/>
    <w:rsid w:val="00662BDB"/>
    <w:rsid w:val="006A5DF1"/>
    <w:rsid w:val="006B7198"/>
    <w:rsid w:val="006C2127"/>
    <w:rsid w:val="006D4AB3"/>
    <w:rsid w:val="006F3B81"/>
    <w:rsid w:val="007D7198"/>
    <w:rsid w:val="008564BB"/>
    <w:rsid w:val="00864A4B"/>
    <w:rsid w:val="00870F9F"/>
    <w:rsid w:val="008804B6"/>
    <w:rsid w:val="00897AB0"/>
    <w:rsid w:val="008A3553"/>
    <w:rsid w:val="009A7646"/>
    <w:rsid w:val="00A639A9"/>
    <w:rsid w:val="00A905AC"/>
    <w:rsid w:val="00AA1EB7"/>
    <w:rsid w:val="00AE45AB"/>
    <w:rsid w:val="00AE7DA9"/>
    <w:rsid w:val="00BA6584"/>
    <w:rsid w:val="00BC760A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69D0"/>
    <w:rsid w:val="00E469E3"/>
    <w:rsid w:val="00E46EBE"/>
    <w:rsid w:val="00E72428"/>
    <w:rsid w:val="00E74932"/>
    <w:rsid w:val="00E74BC3"/>
    <w:rsid w:val="00E935D6"/>
    <w:rsid w:val="00EA14B3"/>
    <w:rsid w:val="00EA416E"/>
    <w:rsid w:val="00F1364B"/>
    <w:rsid w:val="00F8422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976669"/>
  <w15:chartTrackingRefBased/>
  <w15:docId w15:val="{B2A03AB8-8214-4FA2-88C0-4B04B8D3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C760A"/>
  </w:style>
  <w:style w:type="paragraph" w:styleId="Akapitzlist">
    <w:name w:val="List Paragraph"/>
    <w:basedOn w:val="Normalny"/>
    <w:uiPriority w:val="34"/>
    <w:qFormat/>
    <w:rsid w:val="00E74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17</Pages>
  <Words>3420</Words>
  <Characters>21810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2023-08-22T09:24:00Z</cp:lastPrinted>
  <dcterms:created xsi:type="dcterms:W3CDTF">2023-08-22T10:56:00Z</dcterms:created>
  <dcterms:modified xsi:type="dcterms:W3CDTF">2023-08-22T10:56:00Z</dcterms:modified>
</cp:coreProperties>
</file>