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>
      <w:pPr>
        <w:pStyle w:val="Nagwek4"/>
        <w:spacing w:before="0" w:after="36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blPrEx>
          <w:tblCellMar>
            <w:top w:w="0" w:type="dxa"/>
            <w:bottom w:w="0" w:type="dxa"/>
          </w:tblCellMar>
        </w:tblPrEx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pStyle w:val="Nagwek2"/>
              <w:widowControl/>
              <w:spacing w:before="240" w:after="240" w:line="276" w:lineRule="auto"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</w:tc>
      </w:tr>
    </w:tbl>
    <w:p w:rsidR="00FB0B02" w:rsidRDefault="00FB0B02">
      <w:pPr>
        <w:pStyle w:val="Nagwek2"/>
        <w:widowControl/>
        <w:spacing w:line="360" w:lineRule="auto"/>
        <w:rPr>
          <w:sz w:val="22"/>
          <w:szCs w:val="22"/>
        </w:rPr>
      </w:pP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>
        <w:rPr>
          <w:sz w:val="22"/>
          <w:szCs w:val="22"/>
        </w:rPr>
        <w:t xml:space="preserve">w trybie przetargu nieograniczonego pn.: 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widowControl w:val="0"/>
        <w:autoSpaceDE w:val="0"/>
        <w:spacing w:after="120" w:line="276" w:lineRule="auto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 xml:space="preserve">Dostawa </w:t>
      </w:r>
      <w:r>
        <w:rPr>
          <w:b/>
          <w:sz w:val="40"/>
          <w:szCs w:val="40"/>
        </w:rPr>
        <w:t>produktów leczniczych.”</w:t>
      </w:r>
    </w:p>
    <w:p w:rsidR="00FB0B02" w:rsidRDefault="00EF3719">
      <w:pPr>
        <w:pStyle w:val="Nagwek"/>
        <w:jc w:val="center"/>
        <w:rPr>
          <w:b/>
        </w:rPr>
      </w:pPr>
      <w:r>
        <w:rPr>
          <w:b/>
        </w:rPr>
        <w:t>Znak sprawy PN/242/9/L/23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FB0B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NIP (jeżeli dotyczy)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REGON (jeżeli dotyczy)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 (jeżeli dotyczy)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</w:pPr>
            <w:r>
              <w:rPr>
                <w:rFonts w:eastAsia="Calibri"/>
                <w:sz w:val="22"/>
                <w:szCs w:val="22"/>
              </w:rPr>
              <w:t xml:space="preserve">Wykonawca jest micro </w:t>
            </w:r>
            <w:r>
              <w:rPr>
                <w:rFonts w:eastAsia="Calibri"/>
                <w:sz w:val="22"/>
                <w:szCs w:val="22"/>
              </w:rPr>
              <w:t xml:space="preserve">przedsiębiorcą? </w:t>
            </w:r>
            <w:r>
              <w:rPr>
                <w:i/>
                <w:sz w:val="16"/>
              </w:rPr>
              <w:t>(Przedsiębiorstwo, które zatrudnia mniej niż 10 osób i którego roczny obrót lub roczna suma bilansowa nie przekracza 2 milionów EURO).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 *</w:t>
            </w: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</w:pPr>
            <w:r>
              <w:rPr>
                <w:rFonts w:eastAsia="Calibri"/>
                <w:sz w:val="22"/>
                <w:szCs w:val="22"/>
              </w:rPr>
              <w:t>Wykonawca jest małym  przedsiębiorcą?</w:t>
            </w:r>
            <w:r>
              <w:rPr>
                <w:i/>
                <w:sz w:val="16"/>
              </w:rPr>
              <w:t xml:space="preserve">(Przedsiębiorstwo, które zatrudnia mniej niż 50 osób i </w:t>
            </w:r>
            <w:r>
              <w:rPr>
                <w:i/>
                <w:sz w:val="16"/>
              </w:rPr>
              <w:t>katorgo roczny obrót lub roczna suma bilansowa nie przekracza 10 milionów EURO).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 *</w:t>
            </w: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</w:pPr>
            <w:r>
              <w:rPr>
                <w:rFonts w:eastAsia="Calibri"/>
                <w:sz w:val="22"/>
                <w:szCs w:val="22"/>
              </w:rPr>
              <w:t>Wykonawca jest średnim przedsiębiorcą?</w:t>
            </w:r>
            <w:r>
              <w:rPr>
                <w:i/>
                <w:sz w:val="16"/>
              </w:rPr>
              <w:t xml:space="preserve">(Przedsiębiorstwo, które nie jest mikroprzedsiębiorstwem ani małym przedsiębiorstwem i które zatrudnia mniej niż 250 osób i </w:t>
            </w:r>
            <w:r>
              <w:rPr>
                <w:i/>
                <w:sz w:val="16"/>
              </w:rPr>
              <w:t>którego roczny obrót nie przekracza 50 milionów EUR. lub roczna suma bilansowa nie przekracza 43 milionów EURO).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pStyle w:val="Akapitzlist"/>
              <w:autoSpaceDE w:val="0"/>
              <w:spacing w:before="60" w:after="60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/ Nie *</w:t>
            </w: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</w:pPr>
            <w:r>
              <w:rPr>
                <w:rFonts w:eastAsia="Arial"/>
                <w:bCs/>
                <w:sz w:val="22"/>
                <w:szCs w:val="22"/>
              </w:rPr>
              <w:t>Wykonawca prowadzi jednoosobową działalność gospodarczą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r>
              <w:rPr>
                <w:sz w:val="22"/>
                <w:szCs w:val="22"/>
              </w:rPr>
              <w:t>Tak / Nie *</w:t>
            </w: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Inny rodzaj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rPr>
                <w:sz w:val="22"/>
                <w:szCs w:val="22"/>
              </w:rPr>
            </w:pPr>
          </w:p>
          <w:p w:rsidR="00FB0B02" w:rsidRDefault="00EF3719">
            <w:r>
              <w:rPr>
                <w:sz w:val="22"/>
                <w:szCs w:val="22"/>
              </w:rPr>
              <w:t>……………………………………………….. **</w:t>
            </w: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</w:t>
      </w:r>
      <w:r>
        <w:rPr>
          <w:sz w:val="22"/>
          <w:szCs w:val="22"/>
        </w:rPr>
        <w:t>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>Oświadczamy, że dostawy częściowe realizowane będą w term</w:t>
      </w:r>
      <w:r>
        <w:rPr>
          <w:sz w:val="22"/>
          <w:szCs w:val="22"/>
        </w:rPr>
        <w:t xml:space="preserve">inie </w:t>
      </w:r>
      <w:r>
        <w:rPr>
          <w:b/>
          <w:sz w:val="22"/>
          <w:szCs w:val="22"/>
        </w:rPr>
        <w:t>..............** dni roboczych</w:t>
      </w:r>
      <w:r>
        <w:rPr>
          <w:b/>
          <w:sz w:val="22"/>
          <w:szCs w:val="22"/>
        </w:rPr>
        <w:br/>
      </w:r>
      <w:r>
        <w:rPr>
          <w:b/>
          <w:sz w:val="22"/>
          <w:szCs w:val="22"/>
        </w:rPr>
        <w:t xml:space="preserve">     (min.1, max.3)</w:t>
      </w:r>
      <w:r>
        <w:rPr>
          <w:sz w:val="22"/>
          <w:szCs w:val="22"/>
        </w:rPr>
        <w:t xml:space="preserve"> od poniedziałku do piątku, </w:t>
      </w:r>
      <w:r>
        <w:rPr>
          <w:b/>
          <w:sz w:val="22"/>
          <w:szCs w:val="22"/>
          <w:u w:val="single"/>
        </w:rPr>
        <w:t>najpóźniej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do godziny 11:00.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sz w:val="22"/>
          <w:szCs w:val="22"/>
        </w:rPr>
        <w:t xml:space="preserve">3. W  przypadku dostaw tzw. „cito” (w przypadki zagrożenia zdrowia lub życia), w terminie </w:t>
      </w:r>
      <w:r>
        <w:rPr>
          <w:b/>
          <w:sz w:val="22"/>
          <w:szCs w:val="22"/>
        </w:rPr>
        <w:t>max. 5 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>
        <w:rPr>
          <w:sz w:val="22"/>
          <w:szCs w:val="22"/>
        </w:rPr>
        <w:t xml:space="preserve">     od momentu złożenia zamówienia.</w:t>
      </w:r>
    </w:p>
    <w:p w:rsidR="00FB0B02" w:rsidRDefault="00FB0B02">
      <w:pPr>
        <w:pStyle w:val="Tekstpodstawowy2"/>
        <w:ind w:left="284" w:hanging="284"/>
        <w:rPr>
          <w:sz w:val="22"/>
          <w:szCs w:val="22"/>
        </w:rPr>
      </w:pPr>
    </w:p>
    <w:p w:rsidR="00FB0B02" w:rsidRDefault="00EF3719">
      <w:pPr>
        <w:spacing w:line="276" w:lineRule="auto"/>
        <w:ind w:left="284" w:hanging="284"/>
        <w:jc w:val="both"/>
      </w:pPr>
      <w:r>
        <w:rPr>
          <w:sz w:val="22"/>
          <w:szCs w:val="22"/>
        </w:rPr>
        <w:t>4. Te</w:t>
      </w:r>
      <w:r>
        <w:rPr>
          <w:sz w:val="22"/>
          <w:szCs w:val="22"/>
        </w:rPr>
        <w:t xml:space="preserve">rmin płatności ustala się </w:t>
      </w:r>
      <w:r>
        <w:rPr>
          <w:b/>
          <w:bCs/>
          <w:sz w:val="22"/>
          <w:szCs w:val="22"/>
        </w:rPr>
        <w:t>na 45 dni</w:t>
      </w:r>
      <w:r>
        <w:rPr>
          <w:sz w:val="22"/>
          <w:szCs w:val="22"/>
        </w:rPr>
        <w:t>, licząc od dnia otrzymania prawidłowo 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Default="00EF3719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</w:r>
      <w:r>
        <w:rPr>
          <w:sz w:val="22"/>
          <w:szCs w:val="22"/>
        </w:rPr>
        <w:t>obciążenia wynikające z ewentualnych</w:t>
      </w:r>
      <w:r>
        <w:rPr>
          <w:sz w:val="22"/>
          <w:szCs w:val="22"/>
        </w:rPr>
        <w:t xml:space="preserve">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>zapoznaliśm</w:t>
      </w:r>
      <w:r>
        <w:rPr>
          <w:sz w:val="22"/>
        </w:rPr>
        <w:t xml:space="preserve">y się ze Specyfikacją Warunków Zamówienia i uznajemy się za związanych </w:t>
      </w:r>
      <w:r>
        <w:rPr>
          <w:sz w:val="22"/>
        </w:rPr>
        <w:br/>
      </w:r>
      <w:r>
        <w:rPr>
          <w:sz w:val="22"/>
        </w:rPr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</w:r>
      <w:r>
        <w:rPr>
          <w:sz w:val="22"/>
        </w:rPr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>f) zamierzamy / nie zamierzamy powierzyć r</w:t>
      </w:r>
      <w:r>
        <w:rPr>
          <w:sz w:val="22"/>
        </w:rPr>
        <w:t xml:space="preserve">ealizację następujących części zamówienia </w:t>
      </w:r>
      <w:r>
        <w:rPr>
          <w:sz w:val="22"/>
        </w:rPr>
        <w:br/>
      </w:r>
      <w:r>
        <w:rPr>
          <w:sz w:val="22"/>
        </w:rPr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blPrEx>
          <w:tblCellMar>
            <w:top w:w="0" w:type="dxa"/>
            <w:bottom w:w="0" w:type="dxa"/>
          </w:tblCellMar>
        </w:tblPrEx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Zamawiający </w:t>
      </w:r>
      <w:r>
        <w:rPr>
          <w:i/>
          <w:sz w:val="22"/>
          <w:szCs w:val="22"/>
        </w:rPr>
        <w:t>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>g) zapoznaliśmy się z projektowanymi postanowieniami umowy w sprawie zamówienia publicznego, które zostały zawarte we wzorze umowy (załącznik nr 3 do SWZ) i zobowiąz</w:t>
      </w:r>
      <w:r>
        <w:rPr>
          <w:sz w:val="22"/>
        </w:rPr>
        <w:t xml:space="preserve">ujemy się, </w:t>
      </w:r>
      <w:r>
        <w:rPr>
          <w:sz w:val="22"/>
        </w:rPr>
        <w:br/>
      </w:r>
      <w:r>
        <w:rPr>
          <w:sz w:val="22"/>
        </w:rPr>
        <w:t xml:space="preserve">w przypadku wyboru naszej oferty, do zawarcia umowy na zawartych tam warunkach, w miejscu </w:t>
      </w:r>
      <w:r>
        <w:rPr>
          <w:sz w:val="22"/>
        </w:rPr>
        <w:br/>
      </w:r>
      <w:r>
        <w:rPr>
          <w:sz w:val="22"/>
        </w:rPr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z ustawą 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Dz. U. z 2022 r. poz. 931)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z dnia 11 marca 2014 r. o podatku od towarów i usług, wobec czego wskazujemy nazwę (rodzaj) towaru lub usługi, których dostawa lub świadczenie</w:t>
      </w:r>
      <w:r>
        <w:rPr>
          <w:bCs/>
          <w:sz w:val="22"/>
          <w:szCs w:val="22"/>
        </w:rPr>
        <w:t xml:space="preserve">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</w:t>
            </w:r>
            <w:r>
              <w:rPr>
                <w:sz w:val="18"/>
                <w:szCs w:val="18"/>
              </w:rPr>
              <w:t>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EF3719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Zastrzegamy tajność informacji stanowiących tajemnicę przedsiębiorstwa w rozumieniu przepisów ustawy o </w:t>
      </w:r>
      <w:r>
        <w:rPr>
          <w:color w:val="000000"/>
          <w:sz w:val="22"/>
          <w:szCs w:val="22"/>
        </w:rPr>
        <w:t>zwalczaniu nieuczciwej konkurencji  (</w:t>
      </w:r>
      <w:hyperlink r:id="rId8" w:history="1">
        <w:r>
          <w:rPr>
            <w:rStyle w:val="Hipercze"/>
            <w:color w:val="000000"/>
            <w:sz w:val="22"/>
            <w:szCs w:val="22"/>
          </w:rPr>
          <w:t>Dz. U. 2022 poz. 1233</w:t>
        </w:r>
      </w:hyperlink>
      <w:r>
        <w:rPr>
          <w:color w:val="000000"/>
          <w:sz w:val="22"/>
          <w:szCs w:val="22"/>
        </w:rPr>
        <w:t xml:space="preserve">), zawartych w ofercie na 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</w:t>
      </w:r>
      <w:r>
        <w:rPr>
          <w:color w:val="000000"/>
          <w:sz w:val="22"/>
          <w:szCs w:val="22"/>
        </w:rPr>
        <w:t>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jc w:val="both"/>
      </w:pPr>
      <w:r>
        <w:rPr>
          <w:sz w:val="22"/>
          <w:szCs w:val="22"/>
        </w:rPr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blPrEx>
          <w:tblCellMar>
            <w:top w:w="0" w:type="dxa"/>
            <w:bottom w:w="0" w:type="dxa"/>
          </w:tblCellMar>
        </w:tblPrEx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EF3719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Załącznikami do </w:t>
      </w:r>
      <w:r>
        <w:rPr>
          <w:sz w:val="22"/>
          <w:szCs w:val="22"/>
        </w:rPr>
        <w:t>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Arkusze cenowe stanowią integralną część </w:t>
      </w:r>
      <w:r>
        <w:rPr>
          <w:b/>
          <w:sz w:val="22"/>
          <w:szCs w:val="22"/>
          <w:u w:val="single"/>
        </w:rPr>
        <w:t>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  <w:bookmarkStart w:id="0" w:name="_GoBack"/>
      <w:bookmarkEnd w:id="0"/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719" w:rsidRDefault="00EF3719">
      <w:r>
        <w:separator/>
      </w:r>
    </w:p>
  </w:endnote>
  <w:endnote w:type="continuationSeparator" w:id="0">
    <w:p w:rsidR="00EF3719" w:rsidRDefault="00EF3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719" w:rsidRDefault="00EF3719">
      <w:r>
        <w:rPr>
          <w:color w:val="000000"/>
        </w:rPr>
        <w:separator/>
      </w:r>
    </w:p>
  </w:footnote>
  <w:footnote w:type="continuationSeparator" w:id="0">
    <w:p w:rsidR="00EF3719" w:rsidRDefault="00EF3719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</w:t>
      </w:r>
      <w:r>
        <w:rPr>
          <w:sz w:val="18"/>
          <w:szCs w:val="18"/>
        </w:rPr>
        <w:t>nazwy (firmy) i adresy</w:t>
      </w:r>
      <w:r>
        <w:rPr>
          <w:sz w:val="18"/>
          <w:szCs w:val="18"/>
        </w:rPr>
        <w:br/>
      </w:r>
      <w:r>
        <w:rPr>
          <w:sz w:val="18"/>
          <w:szCs w:val="18"/>
        </w:rPr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</w:t>
      </w:r>
      <w:r>
        <w:rPr>
          <w:sz w:val="18"/>
          <w:szCs w:val="18"/>
        </w:rPr>
        <w:t>Europejskiego i Rady (UE) 2016/679 z dnia 27 kwietnia 2016 r. w sprawie ochrony osób fizycznych w związku z przetwarzaniem danych osobowych i w sprawie swobodnego przepływu takich danych oraz uchylenia dyrektywy 95/46/WE (ogólne rozporządzenie o ochronie d</w:t>
      </w:r>
      <w:r>
        <w:rPr>
          <w:sz w:val="18"/>
          <w:szCs w:val="18"/>
        </w:rPr>
        <w:t>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</w:t>
      </w:r>
      <w:r>
        <w:rPr>
          <w:sz w:val="18"/>
          <w:szCs w:val="18"/>
        </w:rPr>
        <w:t>ekazuje danych osobowych innych niż bezpośrednio jego dotyczących lub zachodzi wyłączenie stosowania obowiązku informacyjnego, stosownie do art. 13 ust. 4 lub art. 14 ust. 5 RODO treści oświadczenia Wykonawca nie składa (np. przez jego wykreślenie/usunięci</w:t>
      </w:r>
      <w:r>
        <w:rPr>
          <w:sz w:val="18"/>
          <w:szCs w:val="18"/>
        </w:rPr>
        <w:t>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EF3719">
    <w:pPr>
      <w:pStyle w:val="Nagwek"/>
      <w:rPr>
        <w:sz w:val="20"/>
        <w:szCs w:val="20"/>
      </w:rPr>
    </w:pPr>
    <w:r>
      <w:rPr>
        <w:sz w:val="20"/>
        <w:szCs w:val="20"/>
      </w:rPr>
      <w:t>Znak sprawy PN/242/9/L/23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672505"/>
    <w:rsid w:val="00B84DD8"/>
    <w:rsid w:val="00EF3719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2023-01-18T11:55:00Z</cp:lastPrinted>
  <dcterms:created xsi:type="dcterms:W3CDTF">2023-07-31T07:28:00Z</dcterms:created>
  <dcterms:modified xsi:type="dcterms:W3CDTF">2023-07-31T07:28:00Z</dcterms:modified>
</cp:coreProperties>
</file>