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DF1" w:rsidRPr="00E935D6" w:rsidRDefault="00E469D0" w:rsidP="00E46EBE">
      <w:pPr>
        <w:spacing w:before="360" w:after="360" w:line="360" w:lineRule="auto"/>
        <w:contextualSpacing/>
        <w:jc w:val="right"/>
        <w:rPr>
          <w:rFonts w:ascii="Arial" w:hAnsi="Arial" w:cs="Arial"/>
          <w:sz w:val="24"/>
          <w:szCs w:val="24"/>
        </w:rPr>
      </w:pPr>
      <w:r w:rsidRPr="00E469D0">
        <w:rPr>
          <w:rFonts w:ascii="Arial" w:hAnsi="Arial" w:cs="Arial"/>
          <w:sz w:val="24"/>
          <w:szCs w:val="24"/>
        </w:rPr>
        <w:t>Częstochowa</w:t>
      </w:r>
      <w:r w:rsidR="006A5DF1" w:rsidRPr="00E935D6">
        <w:rPr>
          <w:rFonts w:ascii="Arial" w:hAnsi="Arial" w:cs="Arial"/>
          <w:sz w:val="24"/>
          <w:szCs w:val="24"/>
        </w:rPr>
        <w:t xml:space="preserve"> dnia: </w:t>
      </w:r>
      <w:r w:rsidRPr="00E469D0">
        <w:rPr>
          <w:rFonts w:ascii="Arial" w:hAnsi="Arial" w:cs="Arial"/>
          <w:sz w:val="24"/>
          <w:szCs w:val="24"/>
        </w:rPr>
        <w:t>2023-08-03</w:t>
      </w:r>
    </w:p>
    <w:p w:rsidR="0029606A" w:rsidRPr="00E935D6" w:rsidRDefault="0029606A" w:rsidP="00E46EBE">
      <w:pPr>
        <w:spacing w:before="360" w:after="360" w:line="360" w:lineRule="auto"/>
        <w:contextualSpacing/>
        <w:jc w:val="right"/>
        <w:rPr>
          <w:rFonts w:ascii="Arial" w:hAnsi="Arial" w:cs="Arial"/>
          <w:sz w:val="24"/>
          <w:szCs w:val="24"/>
        </w:rPr>
      </w:pPr>
    </w:p>
    <w:p w:rsidR="006A5DF1" w:rsidRPr="00E935D6" w:rsidRDefault="00E469D0" w:rsidP="00E46EBE">
      <w:pPr>
        <w:spacing w:before="360" w:after="360" w:line="360" w:lineRule="auto"/>
        <w:contextualSpacing/>
        <w:rPr>
          <w:rFonts w:ascii="Arial" w:hAnsi="Arial" w:cs="Arial"/>
          <w:b/>
          <w:bCs/>
          <w:sz w:val="24"/>
          <w:szCs w:val="24"/>
        </w:rPr>
      </w:pPr>
      <w:r w:rsidRPr="00E469D0">
        <w:rPr>
          <w:rFonts w:ascii="Arial" w:hAnsi="Arial" w:cs="Arial"/>
          <w:b/>
          <w:bCs/>
          <w:sz w:val="24"/>
          <w:szCs w:val="24"/>
        </w:rPr>
        <w:t>Politechnika Częstochowska</w:t>
      </w:r>
    </w:p>
    <w:p w:rsidR="006A5DF1" w:rsidRPr="00E935D6" w:rsidRDefault="00E469D0" w:rsidP="00E46EBE">
      <w:pPr>
        <w:spacing w:before="360" w:after="360" w:line="360" w:lineRule="auto"/>
        <w:contextualSpacing/>
        <w:rPr>
          <w:rFonts w:ascii="Arial" w:hAnsi="Arial" w:cs="Arial"/>
          <w:sz w:val="24"/>
          <w:szCs w:val="24"/>
        </w:rPr>
      </w:pPr>
      <w:r w:rsidRPr="00E469D0">
        <w:rPr>
          <w:rFonts w:ascii="Arial" w:hAnsi="Arial" w:cs="Arial"/>
          <w:sz w:val="24"/>
          <w:szCs w:val="24"/>
        </w:rPr>
        <w:t>Dąbrowskiego</w:t>
      </w:r>
      <w:r w:rsidR="006A5DF1" w:rsidRPr="00E935D6">
        <w:rPr>
          <w:rFonts w:ascii="Arial" w:hAnsi="Arial" w:cs="Arial"/>
          <w:sz w:val="24"/>
          <w:szCs w:val="24"/>
        </w:rPr>
        <w:t xml:space="preserve"> </w:t>
      </w:r>
      <w:r w:rsidRPr="00E469D0">
        <w:rPr>
          <w:rFonts w:ascii="Arial" w:hAnsi="Arial" w:cs="Arial"/>
          <w:sz w:val="24"/>
          <w:szCs w:val="24"/>
        </w:rPr>
        <w:t>69</w:t>
      </w:r>
    </w:p>
    <w:p w:rsidR="006A5DF1" w:rsidRDefault="00E469D0" w:rsidP="00E46EBE">
      <w:pPr>
        <w:spacing w:before="360" w:after="360" w:line="360" w:lineRule="auto"/>
        <w:contextualSpacing/>
        <w:rPr>
          <w:rFonts w:ascii="Arial" w:hAnsi="Arial" w:cs="Arial"/>
          <w:sz w:val="24"/>
          <w:szCs w:val="24"/>
        </w:rPr>
      </w:pPr>
      <w:r w:rsidRPr="00E469D0">
        <w:rPr>
          <w:rFonts w:ascii="Arial" w:hAnsi="Arial" w:cs="Arial"/>
          <w:sz w:val="24"/>
          <w:szCs w:val="24"/>
        </w:rPr>
        <w:t>42-201</w:t>
      </w:r>
      <w:r w:rsidR="006A5DF1" w:rsidRPr="00E935D6">
        <w:rPr>
          <w:rFonts w:ascii="Arial" w:hAnsi="Arial" w:cs="Arial"/>
          <w:sz w:val="24"/>
          <w:szCs w:val="24"/>
        </w:rPr>
        <w:t xml:space="preserve"> </w:t>
      </w:r>
      <w:r w:rsidRPr="00E469D0">
        <w:rPr>
          <w:rFonts w:ascii="Arial" w:hAnsi="Arial" w:cs="Arial"/>
          <w:sz w:val="24"/>
          <w:szCs w:val="24"/>
        </w:rPr>
        <w:t>Częstochowa</w:t>
      </w:r>
    </w:p>
    <w:p w:rsidR="00E46EBE" w:rsidRPr="00E935D6" w:rsidRDefault="00E46EBE" w:rsidP="00E46EBE">
      <w:pPr>
        <w:spacing w:before="360" w:after="360" w:line="360" w:lineRule="auto"/>
        <w:contextualSpacing/>
        <w:rPr>
          <w:rFonts w:ascii="Arial" w:hAnsi="Arial" w:cs="Arial"/>
          <w:sz w:val="24"/>
          <w:szCs w:val="24"/>
        </w:rPr>
      </w:pPr>
      <w:r>
        <w:rPr>
          <w:rFonts w:ascii="Arial" w:hAnsi="Arial" w:cs="Arial"/>
          <w:sz w:val="24"/>
          <w:szCs w:val="24"/>
        </w:rPr>
        <w:t>RK-</w:t>
      </w:r>
      <w:r w:rsidR="004533F4">
        <w:rPr>
          <w:rFonts w:ascii="Arial" w:hAnsi="Arial" w:cs="Arial"/>
          <w:sz w:val="24"/>
          <w:szCs w:val="24"/>
        </w:rPr>
        <w:t>681/23</w:t>
      </w:r>
      <w:bookmarkStart w:id="0" w:name="_GoBack"/>
      <w:bookmarkEnd w:id="0"/>
    </w:p>
    <w:p w:rsidR="006A5DF1" w:rsidRPr="00E935D6" w:rsidRDefault="006A5DF1" w:rsidP="00E46EBE">
      <w:pPr>
        <w:tabs>
          <w:tab w:val="left" w:pos="708"/>
          <w:tab w:val="center" w:pos="4536"/>
          <w:tab w:val="right" w:pos="9072"/>
        </w:tabs>
        <w:spacing w:before="360" w:after="360" w:line="360" w:lineRule="auto"/>
        <w:contextualSpacing/>
        <w:jc w:val="right"/>
        <w:rPr>
          <w:rFonts w:ascii="Arial" w:hAnsi="Arial" w:cs="Arial"/>
          <w:b/>
          <w:sz w:val="24"/>
          <w:szCs w:val="24"/>
        </w:rPr>
      </w:pPr>
      <w:r w:rsidRPr="00E935D6">
        <w:rPr>
          <w:rFonts w:ascii="Arial" w:hAnsi="Arial" w:cs="Arial"/>
          <w:b/>
          <w:sz w:val="24"/>
          <w:szCs w:val="24"/>
        </w:rPr>
        <w:t>WYKONAWCY</w:t>
      </w:r>
    </w:p>
    <w:p w:rsidR="006A5DF1" w:rsidRPr="00E935D6" w:rsidRDefault="006A5DF1" w:rsidP="00E46EBE">
      <w:pPr>
        <w:tabs>
          <w:tab w:val="left" w:pos="708"/>
          <w:tab w:val="center" w:pos="4536"/>
          <w:tab w:val="right" w:pos="9072"/>
        </w:tabs>
        <w:spacing w:before="360" w:after="360" w:line="360" w:lineRule="auto"/>
        <w:contextualSpacing/>
        <w:jc w:val="right"/>
        <w:rPr>
          <w:rFonts w:ascii="Arial" w:hAnsi="Arial" w:cs="Arial"/>
          <w:sz w:val="24"/>
          <w:szCs w:val="24"/>
        </w:rPr>
      </w:pPr>
      <w:r w:rsidRPr="00E935D6">
        <w:rPr>
          <w:rFonts w:ascii="Arial" w:hAnsi="Arial" w:cs="Arial"/>
          <w:sz w:val="24"/>
          <w:szCs w:val="24"/>
        </w:rPr>
        <w:t>ubiegający się o zamówienie publiczne</w:t>
      </w:r>
    </w:p>
    <w:p w:rsidR="00632C3C" w:rsidRPr="00E935D6" w:rsidRDefault="00BC760A" w:rsidP="00E46EBE">
      <w:pPr>
        <w:pStyle w:val="Nagwek1"/>
        <w:spacing w:before="360" w:after="360" w:line="360" w:lineRule="auto"/>
        <w:contextualSpacing/>
        <w:jc w:val="center"/>
        <w:rPr>
          <w:rFonts w:cs="Arial"/>
          <w:szCs w:val="28"/>
        </w:rPr>
      </w:pPr>
      <w:r w:rsidRPr="00BC760A">
        <w:rPr>
          <w:rFonts w:cs="Arial"/>
          <w:szCs w:val="28"/>
        </w:rPr>
        <w:t>WYJAŚNIENIA TREŚCI SWZ, ZMIANA SWZ, PRZEDŁUŻENIE TERMINU SKŁADANIA OFERT</w:t>
      </w:r>
    </w:p>
    <w:p w:rsidR="006D4AB3" w:rsidRPr="00E935D6" w:rsidRDefault="00632C3C" w:rsidP="00E46EBE">
      <w:pPr>
        <w:spacing w:before="360" w:after="360" w:line="360" w:lineRule="auto"/>
        <w:contextualSpacing/>
        <w:jc w:val="both"/>
        <w:rPr>
          <w:rFonts w:ascii="Arial" w:hAnsi="Arial" w:cs="Arial"/>
          <w:sz w:val="24"/>
          <w:szCs w:val="24"/>
        </w:rPr>
      </w:pPr>
      <w:r w:rsidRPr="00E935D6">
        <w:rPr>
          <w:rFonts w:ascii="Arial" w:hAnsi="Arial" w:cs="Arial"/>
          <w:sz w:val="24"/>
          <w:szCs w:val="24"/>
        </w:rPr>
        <w:t xml:space="preserve">Dotyczy: </w:t>
      </w:r>
      <w:r w:rsidR="006A5DF1" w:rsidRPr="00E935D6">
        <w:rPr>
          <w:rFonts w:ascii="Arial" w:hAnsi="Arial" w:cs="Arial"/>
          <w:sz w:val="24"/>
          <w:szCs w:val="24"/>
        </w:rPr>
        <w:t>p</w:t>
      </w:r>
      <w:r w:rsidRPr="00E935D6">
        <w:rPr>
          <w:rFonts w:ascii="Arial" w:hAnsi="Arial" w:cs="Arial"/>
          <w:sz w:val="24"/>
          <w:szCs w:val="24"/>
        </w:rPr>
        <w:t>ostępowani</w:t>
      </w:r>
      <w:r w:rsidR="006A5DF1" w:rsidRPr="00E935D6">
        <w:rPr>
          <w:rFonts w:ascii="Arial" w:hAnsi="Arial" w:cs="Arial"/>
          <w:sz w:val="24"/>
          <w:szCs w:val="24"/>
        </w:rPr>
        <w:t>a</w:t>
      </w:r>
      <w:r w:rsidRPr="00E935D6">
        <w:rPr>
          <w:rFonts w:ascii="Arial" w:hAnsi="Arial" w:cs="Arial"/>
          <w:sz w:val="24"/>
          <w:szCs w:val="24"/>
        </w:rPr>
        <w:t xml:space="preserve"> o udzielenie zamówienia publicznego, prowadzone</w:t>
      </w:r>
      <w:r w:rsidR="006A5DF1" w:rsidRPr="00E935D6">
        <w:rPr>
          <w:rFonts w:ascii="Arial" w:hAnsi="Arial" w:cs="Arial"/>
          <w:sz w:val="24"/>
          <w:szCs w:val="24"/>
        </w:rPr>
        <w:t>go</w:t>
      </w:r>
      <w:r w:rsidRPr="00E935D6">
        <w:rPr>
          <w:rFonts w:ascii="Arial" w:hAnsi="Arial" w:cs="Arial"/>
          <w:sz w:val="24"/>
          <w:szCs w:val="24"/>
        </w:rPr>
        <w:t xml:space="preserve"> w trybie </w:t>
      </w:r>
      <w:r w:rsidR="00E469D0" w:rsidRPr="00E469D0">
        <w:rPr>
          <w:rFonts w:ascii="Arial" w:hAnsi="Arial" w:cs="Arial"/>
          <w:sz w:val="24"/>
          <w:szCs w:val="24"/>
        </w:rPr>
        <w:t xml:space="preserve">Tryb podstawowy bez negocjacji - art. 275 pkt. 1 ustawy </w:t>
      </w:r>
      <w:proofErr w:type="spellStart"/>
      <w:r w:rsidR="00E469D0" w:rsidRPr="00E469D0">
        <w:rPr>
          <w:rFonts w:ascii="Arial" w:hAnsi="Arial" w:cs="Arial"/>
          <w:sz w:val="24"/>
          <w:szCs w:val="24"/>
        </w:rPr>
        <w:t>Pzp</w:t>
      </w:r>
      <w:proofErr w:type="spellEnd"/>
      <w:r w:rsidRPr="00E935D6">
        <w:rPr>
          <w:rFonts w:ascii="Arial" w:hAnsi="Arial" w:cs="Arial"/>
          <w:b/>
          <w:sz w:val="24"/>
          <w:szCs w:val="24"/>
        </w:rPr>
        <w:t xml:space="preserve"> </w:t>
      </w:r>
      <w:r w:rsidRPr="00E935D6">
        <w:rPr>
          <w:rFonts w:ascii="Arial" w:hAnsi="Arial" w:cs="Arial"/>
          <w:bCs/>
          <w:sz w:val="24"/>
          <w:szCs w:val="24"/>
        </w:rPr>
        <w:t>na</w:t>
      </w:r>
      <w:r w:rsidRPr="00E935D6">
        <w:rPr>
          <w:rFonts w:ascii="Arial" w:hAnsi="Arial" w:cs="Arial"/>
          <w:b/>
          <w:sz w:val="24"/>
          <w:szCs w:val="24"/>
        </w:rPr>
        <w:t xml:space="preserve"> </w:t>
      </w:r>
      <w:r w:rsidR="00E72428" w:rsidRPr="00E935D6">
        <w:rPr>
          <w:rFonts w:ascii="Arial" w:hAnsi="Arial" w:cs="Arial"/>
          <w:bCs/>
          <w:sz w:val="24"/>
          <w:szCs w:val="24"/>
        </w:rPr>
        <w:t>”</w:t>
      </w:r>
      <w:r w:rsidR="00E469D0" w:rsidRPr="00E469D0">
        <w:rPr>
          <w:rFonts w:ascii="Arial" w:hAnsi="Arial" w:cs="Arial"/>
          <w:b/>
          <w:bCs/>
          <w:sz w:val="24"/>
          <w:szCs w:val="24"/>
        </w:rPr>
        <w:t>Przebudowa pomieszczeń na potrzeby Centrum Przetwarzania danych Politechniki Częstochowskiej</w:t>
      </w:r>
      <w:r w:rsidR="00E72428" w:rsidRPr="00E935D6">
        <w:rPr>
          <w:rFonts w:ascii="Arial" w:hAnsi="Arial" w:cs="Arial"/>
          <w:bCs/>
          <w:sz w:val="24"/>
          <w:szCs w:val="24"/>
        </w:rPr>
        <w:t>”</w:t>
      </w:r>
      <w:r w:rsidRPr="00E935D6">
        <w:rPr>
          <w:rFonts w:ascii="Arial" w:hAnsi="Arial" w:cs="Arial"/>
          <w:b/>
          <w:sz w:val="24"/>
          <w:szCs w:val="24"/>
        </w:rPr>
        <w:t xml:space="preserve"> </w:t>
      </w:r>
      <w:r w:rsidRPr="00E935D6">
        <w:rPr>
          <w:rFonts w:ascii="Arial" w:hAnsi="Arial" w:cs="Arial"/>
          <w:bCs/>
          <w:sz w:val="24"/>
          <w:szCs w:val="24"/>
        </w:rPr>
        <w:t>– znak sprawy</w:t>
      </w:r>
      <w:r w:rsidRPr="00E935D6">
        <w:rPr>
          <w:rFonts w:ascii="Arial" w:hAnsi="Arial" w:cs="Arial"/>
          <w:b/>
          <w:sz w:val="24"/>
          <w:szCs w:val="24"/>
        </w:rPr>
        <w:t xml:space="preserve"> </w:t>
      </w:r>
      <w:r w:rsidR="00E469D0" w:rsidRPr="00E469D0">
        <w:rPr>
          <w:rFonts w:ascii="Arial" w:hAnsi="Arial" w:cs="Arial"/>
          <w:b/>
          <w:sz w:val="24"/>
          <w:szCs w:val="24"/>
        </w:rPr>
        <w:t>RK-NZ.261.50.2023.ŁZ</w:t>
      </w:r>
      <w:r w:rsidRPr="00E935D6">
        <w:rPr>
          <w:rFonts w:ascii="Arial" w:hAnsi="Arial" w:cs="Arial"/>
          <w:b/>
          <w:sz w:val="24"/>
          <w:szCs w:val="24"/>
        </w:rPr>
        <w:t>.</w:t>
      </w:r>
    </w:p>
    <w:p w:rsidR="0012774F" w:rsidRPr="00E935D6" w:rsidRDefault="00520165" w:rsidP="00E46EBE">
      <w:pPr>
        <w:spacing w:before="360" w:after="360" w:line="360" w:lineRule="auto"/>
        <w:contextualSpacing/>
        <w:jc w:val="both"/>
        <w:rPr>
          <w:rFonts w:ascii="Arial" w:hAnsi="Arial" w:cs="Arial"/>
          <w:sz w:val="22"/>
          <w:szCs w:val="22"/>
        </w:rPr>
      </w:pPr>
      <w:r w:rsidRPr="00E935D6">
        <w:rPr>
          <w:rFonts w:ascii="Arial" w:hAnsi="Arial" w:cs="Arial"/>
          <w:sz w:val="24"/>
          <w:szCs w:val="24"/>
        </w:rPr>
        <w:t xml:space="preserve">Zamawiający, </w:t>
      </w:r>
      <w:r w:rsidR="00E469D0" w:rsidRPr="00E469D0">
        <w:rPr>
          <w:rFonts w:ascii="Arial" w:hAnsi="Arial" w:cs="Arial"/>
          <w:b/>
          <w:sz w:val="24"/>
          <w:szCs w:val="24"/>
        </w:rPr>
        <w:t>Politechnika Częstochowska</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E469D0" w:rsidRPr="00E469D0">
        <w:rPr>
          <w:rFonts w:ascii="Arial" w:hAnsi="Arial" w:cs="Arial"/>
          <w:sz w:val="24"/>
          <w:szCs w:val="24"/>
        </w:rPr>
        <w:t>(</w:t>
      </w:r>
      <w:proofErr w:type="spellStart"/>
      <w:r w:rsidR="00E469D0" w:rsidRPr="00E469D0">
        <w:rPr>
          <w:rFonts w:ascii="Arial" w:hAnsi="Arial" w:cs="Arial"/>
          <w:sz w:val="24"/>
          <w:szCs w:val="24"/>
        </w:rPr>
        <w:t>t.j</w:t>
      </w:r>
      <w:proofErr w:type="spellEnd"/>
      <w:r w:rsidR="00E469D0" w:rsidRPr="00E469D0">
        <w:rPr>
          <w:rFonts w:ascii="Arial" w:hAnsi="Arial" w:cs="Arial"/>
          <w:sz w:val="24"/>
          <w:szCs w:val="24"/>
        </w:rPr>
        <w:t>. Dz. U. z 2022r. poz. 1710)</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E469D0" w:rsidRPr="00E935D6" w:rsidTr="00FC24D0">
        <w:tc>
          <w:tcPr>
            <w:tcW w:w="9356" w:type="dxa"/>
            <w:shd w:val="clear" w:color="auto" w:fill="auto"/>
          </w:tcPr>
          <w:p w:rsidR="00E469E3" w:rsidRDefault="00E469E3" w:rsidP="00E46EBE">
            <w:pPr>
              <w:spacing w:before="360" w:after="360" w:line="360" w:lineRule="auto"/>
              <w:contextualSpacing/>
              <w:rPr>
                <w:rFonts w:ascii="Arial" w:eastAsia="Calibri" w:hAnsi="Arial"/>
                <w:sz w:val="24"/>
                <w:szCs w:val="22"/>
                <w:lang w:eastAsia="en-US"/>
              </w:rPr>
            </w:pPr>
            <w:r w:rsidRPr="00E469E3">
              <w:rPr>
                <w:rFonts w:ascii="Arial" w:eastAsia="Calibri" w:hAnsi="Arial"/>
                <w:sz w:val="24"/>
                <w:szCs w:val="22"/>
                <w:lang w:eastAsia="en-US"/>
              </w:rPr>
              <w:t xml:space="preserve">1. Zwracamy się do Zamawiającego o dopuszczenie częściowych odbiorów robót? Zgodnie z SWZ termin realizacji zamówienia wynosi 150 dni, a więc 5 miesięcy. Do tego dochodzą jeszcze procedury odbiorowe. Termin zapłaty wynagrodzenia wykonawcy wynosi 30 dni. Z powyższego wynika, że płatność za wykonane roboty nastąpi dopiero po upływie ponad pół roku od daty udzielenia zamówienia. Oznacza to dla wykonawcy konieczność kredytowania budowy przez cały ten okres. Przy wartości na jaką szacuje się zamówienie, jest to obciążenie trudne dla udźwignięcia </w:t>
            </w:r>
            <w:r w:rsidRPr="00E469E3">
              <w:rPr>
                <w:rFonts w:ascii="Arial" w:eastAsia="Calibri" w:hAnsi="Arial"/>
                <w:sz w:val="24"/>
                <w:szCs w:val="22"/>
                <w:lang w:eastAsia="en-US"/>
              </w:rPr>
              <w:lastRenderedPageBreak/>
              <w:t xml:space="preserve">dla większości wykonawców działających na rynku, zdolnych wykonać zamówienia. Przedmiot zamówienia jest skomplikowany, obejmuje roboty wielobranżowe oraz dostawę i montaż instalacji i urządzeń. Powyższe wymaga od wykonawcy zaangażowania znacznych zasobów osobowych i rzeczowych, m.in. personelu własnego, podwykonawców, zakupu materiałów i urządzeń. Z treści §2 ust. 4 wzoru umowy wynika, że w ramach przedmiotu zamówienia będą wyodrębnione poszczególne etapy robót budowlanych. Znajdzie to odzwierciedlenie w „harmonogramie rzeczowo – terminowym”. Wobec powyższego ukończenie każdego z tych etapów powinno być zwieńczone odbiorem częściowym. Zgodnie z utrwalonym orzecznictwem (por. wyrok Sądu Najwyższego z dnia 19 marca 2004r., sygn. IV CK 172/03, wyrok SN z dnia 14 listopada 2008r., V CSK 182/08, z dnia 9 września 2011r., I CSK 696/10, OSP 2012, z dnia 30 marca 2017r., V CSK 260/16, IV z dnia 29 listopada 2018r. -CSK 378/17), świadczenie wykonawcy wynikające z umowy o roboty budowlane może być spełnione częściowo bez istotnej zmiany jego przedmiotu lub wartości, a więc jest świadczeniem podzielnym w rozumieniu art. 379 § 2 Kodeksu cywilnego. To, że świadczenie z umowy o roboty budowlane może być spełniane częściowo wynika również z art. 654 K.C. Zgodnie z tym przepisem, inwestor ma obowiązek na żądanie wykonawcy przejmować wykonane roboty częściowo, w miarę ich ukończenia, za zapłatą odpowiedniej części wynagrodzenia. Przepis ten wyraźnie zakłada, że tylko postanowienie umowy o roboty budowlane może w konkretnej sytuacji wyłączyć możliwość spełniania świadczenia częściowo. Przywołane wyroki wskazują, że roboty mogą być odbierane częściowo, bez uszczerbku dla całości zamówienia. Przepisy kodeksu cywilnego za standard przyjmują odbiory i rozliczenia częściowe robót budowlanych (inwestor ma obowiązek na żądanie wykonawcy przejmować wykonane roboty częściowo), a jedynie odpowiednie postanowienia umowne mogą ten obowiązek wyłączyć. Należy przy tym zauważyć, że kodeks cywilny odnosi się do sytuacji, gdy obowiązek inwestora można wyłączyć w drodze konsensusu stron umowy, zaś w przypadku zamówienia publicznego mamy do czynienia z nierównowagą stron stosunku prawnego, gdzie zapisy umowy są </w:t>
            </w:r>
            <w:r w:rsidRPr="00E469E3">
              <w:rPr>
                <w:rFonts w:ascii="Arial" w:eastAsia="Calibri" w:hAnsi="Arial"/>
                <w:sz w:val="24"/>
                <w:szCs w:val="22"/>
                <w:lang w:eastAsia="en-US"/>
              </w:rPr>
              <w:lastRenderedPageBreak/>
              <w:t xml:space="preserve">kształtowane jednostronnie przez Zamawiającego. Stosownie do treści art. 431 ustawy </w:t>
            </w:r>
            <w:proofErr w:type="spellStart"/>
            <w:r w:rsidRPr="00E469E3">
              <w:rPr>
                <w:rFonts w:ascii="Arial" w:eastAsia="Calibri" w:hAnsi="Arial"/>
                <w:sz w:val="24"/>
                <w:szCs w:val="22"/>
                <w:lang w:eastAsia="en-US"/>
              </w:rPr>
              <w:t>Pzp</w:t>
            </w:r>
            <w:proofErr w:type="spellEnd"/>
            <w:r w:rsidRPr="00E469E3">
              <w:rPr>
                <w:rFonts w:ascii="Arial" w:eastAsia="Calibri" w:hAnsi="Arial"/>
                <w:sz w:val="24"/>
                <w:szCs w:val="22"/>
                <w:lang w:eastAsia="en-US"/>
              </w:rPr>
              <w:t xml:space="preserve">, „zamawiający i wykonawca wybrany w postępowaniu o udzielenie zamówienia zobowiązani są współdziałać przy wykonaniu umowy w sprawie zamówienia publicznego, w celu należytej realizacji zamówienia”. Celem niniejszego zamówienia jest uzyskanie pomieszczeń przebudowanych na potrzeby Centrum Przetwarzania Danych. Niewątpliwie współdziałaniem Zamawiającego przy realizacji umowy będzie dokonywanie odbiorów oraz zapłata wynagrodzenia wykonawcy. Zwracamy uwagę, że przy złożonym przedmiocie zamówienia, obejmującym różne branże, etapy robót, dostawy, instalacje, odbiory częściowe przedmiotu zamówienia są korzystne dla Zamawiającego i wykonawców. Odbiory częściowe pozwalają na regularną ocenę jakości wykonywanych robót. Dzięki temu, zaistniałe problemy, kwestie do rozwiązania, mogą być rozwiązywane na bieżąco, podczas gdy mogłyby być trudniejsze do usunięcia na późniejszych etapach robót. Pozwala to również na minimalizację ryzyka dla obu stron, w tym na wcześniejsze wykrycie i naprawę ewentualnych błędów, które mogą wpłynąć na jakość i trwałość całej inwestycji. Częściowe odbiory ułatwiają bieżące wprowadzenie zmian lub dostosowanie projektu do potrzeb Zamawiającego, które ujawnią się na etapie realizacji robót, co jest szczególnie ważne w przypadku złożonego projektu. Wszelkie modyfikacje łatwiej jest wprowadzać na wczesnym etapie, co może okazać się bardziej efektywne (również kosztowo) i zmniejszyć ryzyko opóźnień. Odbiory częściowe pozwalają na lepsze monitorowanie postępów w realizacji zamówienia oraz zgodności robót z dokumentacją projektową. Dzięki określeniu poziomu zaawansowania robót przy każdym odbiorze częściowym, Zamawiający ma lepszy wgląd w to, czy roboty postępują zgodnie z harmonogramem i projektem, a wykonawca może na bieżąco niwelować ewentualne opóźnienia i problemy. Przyjmowanie robót częściowo pozwala też zapobiec ewentualnym pomyłkom w interpretacji dokumentacji projektowej. Przyjmowanie robót częściowo pozwala na uniknięcie koncentracji wad i niedociągnięć w jednym etapie budowy, co zapobiega wydłużeniu czasu realizacji projektu. Dzięki częściowym odbiorom, odbiór końcowy staje się płynniejszy i szybszy, z uwagi na wcześniejsze rozwiązanie powstałych kwestii. Uławia to znacznie zakończenie projektu zgodnie z wymaganiami i oczekiwaniami Zamawiającego. Jednocześnie wskazujemy, że brak dopuszczenia odbiorów częściowych robót w przypadku zamówienia o tej wartości, złożoności i okresie realizacji, ogranicza konkurencję oraz dostęp do zamówienia wykonawcom, którzy mają wystarczające zdolności do jego należytego wykonania. Przede wszystkim wykonawca jest zmuszony do zaangażowania znacznych środków finansowych, już na starcie projektu oraz do utrzymywania tych obciążeń ich przez ponad pół roku, aby pokrywać zobowiązania wobec personelu, podwykonawców, dostawców i kooperantów. Ponadto powstają ograniczenia techniczne. Pewne etapy inwestycji są bardziej złożone i wymagają specjalistycznej wiedzy. Możliwość odbiorów częściowych pozwoliłaby na lepsze dopasowanie specjalizacji wykonawców do konkretnych etapów projektu, umożliwiłaby lepszą kontrolę nad poszczególnymi etapami. Brak etapowania powoduje brak elastyczności dla większości wykonawców, którzy preferują podział prac na bardziej dogodne dla siebie odcinki. Obecne rozwiązanie uniemożliwia sprawne gospodarowanie zasobami – głównie osobowymi, które mogłyby być zwolnione po zakończeniu i rozliczeniu danego etapu robót. Istotne jest, że przerzucenie na wykonawcę obowiązku finansowania całości robót przez ponad półroczny okres stanowi duże ryzyko dla samego Zamawiającego. Istnieje duże niebezpieczeństwo, że wybrany wykonawca nie będzie w stanie udźwignąć nałożonych obciążeń. Każdy z wykonawców działających na rynku posiada pewien portfel zamówień. Zakłócenia w ich finansowaniu, zwłaszcza w dzisiejszych realiach rynkowych, mogą się odbić na płynności finansowej i możliwości realizacji pozostałych umów. Wprowadzenie odbiorów częściowych minimalizuje utratę płynności finansowej przez wykonawcę, co pozwala na sprawne i terminowe wykonanie zamówienia. Wprowadzenie odbiorów częściowych jest istotnym narzędziem zarządzania przedsięwzięciem budowlanym, które przyczynia się do lepszej jakości wykonania robót, minimalizacji </w:t>
            </w:r>
            <w:proofErr w:type="spellStart"/>
            <w:r w:rsidRPr="00E469E3">
              <w:rPr>
                <w:rFonts w:ascii="Arial" w:eastAsia="Calibri" w:hAnsi="Arial"/>
                <w:sz w:val="24"/>
                <w:szCs w:val="22"/>
                <w:lang w:eastAsia="en-US"/>
              </w:rPr>
              <w:t>ryzyk</w:t>
            </w:r>
            <w:proofErr w:type="spellEnd"/>
            <w:r w:rsidRPr="00E469E3">
              <w:rPr>
                <w:rFonts w:ascii="Arial" w:eastAsia="Calibri" w:hAnsi="Arial"/>
                <w:sz w:val="24"/>
                <w:szCs w:val="22"/>
                <w:lang w:eastAsia="en-US"/>
              </w:rPr>
              <w:t xml:space="preserve">, efektywniejszej kontroli postępów i łatwiejszego dostosowania się do potrzeb Zamawiającego. Wykonawca otrzymuje regularną informację zwrotną od Zamawiającego oraz wynagrodzenie za wykonaną pracę i zaangażowanie. Wobec powyższego wnioskujemy do Zamawiającego o wprowadzenie odbiorów i rozliczeń częściowych: co najmniej dwóch odbiorów częściowych (co drugi miesiąc realizacji) i odbioru końcowego. Powyższe znalazłoby odzwierciedlenie w harmonogramie, o którym mowa w par. 2 ust. 4 umowy, który stałby się harmonogramem rzeczowo- finansowym. </w:t>
            </w:r>
          </w:p>
          <w:p w:rsidR="00E469E3" w:rsidRPr="00E469E3" w:rsidRDefault="00E469E3" w:rsidP="00E46EBE">
            <w:pPr>
              <w:spacing w:before="360" w:after="360" w:line="360" w:lineRule="auto"/>
              <w:contextualSpacing/>
              <w:rPr>
                <w:rFonts w:ascii="Arial" w:eastAsia="Calibri" w:hAnsi="Arial"/>
                <w:sz w:val="24"/>
                <w:szCs w:val="22"/>
                <w:lang w:eastAsia="en-US"/>
              </w:rPr>
            </w:pPr>
            <w:r w:rsidRPr="00E46EBE">
              <w:rPr>
                <w:rFonts w:ascii="Arial" w:eastAsia="Calibri" w:hAnsi="Arial"/>
                <w:b/>
                <w:sz w:val="24"/>
                <w:szCs w:val="22"/>
                <w:lang w:eastAsia="en-US"/>
              </w:rPr>
              <w:t>Odp.</w:t>
            </w:r>
            <w:r>
              <w:rPr>
                <w:rFonts w:ascii="Arial" w:eastAsia="Calibri" w:hAnsi="Arial"/>
                <w:sz w:val="24"/>
                <w:szCs w:val="22"/>
                <w:lang w:eastAsia="en-US"/>
              </w:rPr>
              <w:t xml:space="preserve"> </w:t>
            </w:r>
            <w:r w:rsidRPr="00E469E3">
              <w:rPr>
                <w:rFonts w:ascii="Arial" w:eastAsia="Calibri" w:hAnsi="Arial"/>
                <w:sz w:val="24"/>
                <w:szCs w:val="22"/>
                <w:lang w:eastAsia="en-US"/>
              </w:rPr>
              <w:t>Zamawiający nie dopuszcza częściowych odbiorów oraz płatności częściowych.</w:t>
            </w:r>
          </w:p>
          <w:p w:rsidR="00406F8B" w:rsidRDefault="00406F8B" w:rsidP="00E46EBE">
            <w:pPr>
              <w:spacing w:before="360" w:after="360" w:line="360" w:lineRule="auto"/>
              <w:contextualSpacing/>
              <w:rPr>
                <w:rFonts w:ascii="Arial" w:eastAsia="Calibri" w:hAnsi="Arial"/>
                <w:sz w:val="24"/>
                <w:szCs w:val="22"/>
                <w:lang w:eastAsia="en-US"/>
              </w:rPr>
            </w:pPr>
          </w:p>
          <w:p w:rsidR="00E469E3" w:rsidRDefault="00E469E3" w:rsidP="00E46EBE">
            <w:pPr>
              <w:spacing w:before="360" w:after="360" w:line="360" w:lineRule="auto"/>
              <w:contextualSpacing/>
              <w:rPr>
                <w:rFonts w:ascii="Arial" w:eastAsia="Calibri" w:hAnsi="Arial"/>
                <w:sz w:val="24"/>
                <w:szCs w:val="22"/>
                <w:lang w:eastAsia="en-US"/>
              </w:rPr>
            </w:pPr>
            <w:r w:rsidRPr="00E469E3">
              <w:rPr>
                <w:rFonts w:ascii="Arial" w:eastAsia="Calibri" w:hAnsi="Arial"/>
                <w:sz w:val="24"/>
                <w:szCs w:val="22"/>
                <w:lang w:eastAsia="en-US"/>
              </w:rPr>
              <w:t xml:space="preserve">2) Czy Zamawiający wyrazi zgodę na wprowadzenie do umowy mechanizmu płatności częściowych podczas jej realizacji? Obecne zapisy postępowania przetargowego, w przypadku zamówienia o tak znacznej wartości i okresie realizacji, skutecznie ograniczają konkurencję oraz możliwość składania ofert Wykonawcom, którzy mają wystarczające zdolności do jego należytego wykonania, jednak ze względu na ograniczenia finansowe wynikające m.in. z realizacji innych Inwestycji nie są w stanie finansować realizacji umowy o wartości przekraczającej 4 mln złotych i trwającej ponad 150 dni bez płatności częściowych. Dodatkowo zwracamy uwagę, że treść § 2 ust. 4 wzoru umowy wskazuje na fakt, iż w ramach przedmiotu zamówienia będą wyodrębnione poszczególne etapy realizacji Zadania. Taki podział pozwala na wprowadzenie mechanizmu płatności częściowych, który w sposób rzetelny pozwoli na wypłacanie wynagrodzenia za wykonane prace wynikające z zakresu harmonogramu rzeczowo – terminowego. Tym samym wnioskujemy o wprowadzenia zapisów umowy pozwalających na mechanizm płatności częściowych co najmniej w następujących transzach: 20%, 50%, 80% i 100% z 30 dniowym terminem płatności. </w:t>
            </w:r>
          </w:p>
          <w:p w:rsidR="00E469E3" w:rsidRPr="00E469E3" w:rsidRDefault="00E469E3" w:rsidP="00E46EBE">
            <w:pPr>
              <w:spacing w:before="360" w:after="360" w:line="360" w:lineRule="auto"/>
              <w:contextualSpacing/>
              <w:rPr>
                <w:rFonts w:ascii="Arial" w:eastAsia="Calibri" w:hAnsi="Arial"/>
                <w:sz w:val="24"/>
                <w:szCs w:val="22"/>
                <w:lang w:eastAsia="en-US"/>
              </w:rPr>
            </w:pPr>
            <w:r w:rsidRPr="00E46EBE">
              <w:rPr>
                <w:rFonts w:ascii="Arial" w:eastAsia="Calibri" w:hAnsi="Arial"/>
                <w:b/>
                <w:sz w:val="24"/>
                <w:szCs w:val="22"/>
                <w:lang w:eastAsia="en-US"/>
              </w:rPr>
              <w:t>Odp</w:t>
            </w:r>
            <w:r>
              <w:rPr>
                <w:rFonts w:ascii="Arial" w:eastAsia="Calibri" w:hAnsi="Arial"/>
                <w:sz w:val="24"/>
                <w:szCs w:val="22"/>
                <w:lang w:eastAsia="en-US"/>
              </w:rPr>
              <w:t xml:space="preserve">. </w:t>
            </w:r>
            <w:r w:rsidRPr="00E469E3">
              <w:rPr>
                <w:rFonts w:ascii="Arial" w:eastAsia="Calibri" w:hAnsi="Arial"/>
                <w:sz w:val="24"/>
                <w:szCs w:val="22"/>
                <w:lang w:eastAsia="en-US"/>
              </w:rPr>
              <w:t>Zamawiający nie dopuszcza częściowych odbiorów oraz płatności częściowych.</w:t>
            </w:r>
          </w:p>
          <w:p w:rsidR="00406F8B" w:rsidRDefault="00406F8B" w:rsidP="00E46EBE">
            <w:pPr>
              <w:spacing w:before="360" w:after="360" w:line="360" w:lineRule="auto"/>
              <w:contextualSpacing/>
              <w:rPr>
                <w:rFonts w:ascii="Arial" w:eastAsia="Calibri" w:hAnsi="Arial"/>
                <w:sz w:val="24"/>
                <w:szCs w:val="22"/>
                <w:lang w:eastAsia="en-US"/>
              </w:rPr>
            </w:pPr>
          </w:p>
          <w:p w:rsidR="00E469E3" w:rsidRPr="00E469E3" w:rsidRDefault="00E469E3" w:rsidP="00E46EBE">
            <w:pPr>
              <w:spacing w:before="360" w:after="360" w:line="360" w:lineRule="auto"/>
              <w:contextualSpacing/>
              <w:rPr>
                <w:rFonts w:ascii="Arial" w:eastAsia="Calibri" w:hAnsi="Arial"/>
                <w:sz w:val="24"/>
                <w:szCs w:val="22"/>
                <w:lang w:eastAsia="en-US"/>
              </w:rPr>
            </w:pPr>
            <w:r w:rsidRPr="00E469E3">
              <w:rPr>
                <w:rFonts w:ascii="Arial" w:eastAsia="Calibri" w:hAnsi="Arial"/>
                <w:sz w:val="24"/>
                <w:szCs w:val="22"/>
                <w:lang w:eastAsia="en-US"/>
              </w:rPr>
              <w:t xml:space="preserve">3) Czy Zamawiający celowo rezygnuje z konieczności podania przez Oferentów nazw producentów oraz modeli urządzeń oferowanych w postępowaniu? Brak takiej informacji na etapie składania ofert będzie uniemożliwiał weryfikację zgodności zaoferowanych elementów z dokumentacją przetargową. </w:t>
            </w:r>
          </w:p>
          <w:p w:rsidR="00E469E3" w:rsidRPr="00E469E3" w:rsidRDefault="00E469E3" w:rsidP="00E46EBE">
            <w:pPr>
              <w:spacing w:before="360" w:after="360" w:line="360" w:lineRule="auto"/>
              <w:contextualSpacing/>
              <w:rPr>
                <w:rFonts w:ascii="Arial" w:eastAsia="Calibri" w:hAnsi="Arial"/>
                <w:sz w:val="24"/>
                <w:szCs w:val="22"/>
                <w:lang w:eastAsia="en-US"/>
              </w:rPr>
            </w:pPr>
            <w:r w:rsidRPr="00E46EBE">
              <w:rPr>
                <w:rFonts w:ascii="Arial" w:eastAsia="Calibri" w:hAnsi="Arial"/>
                <w:b/>
                <w:sz w:val="24"/>
                <w:szCs w:val="22"/>
                <w:lang w:eastAsia="en-US"/>
              </w:rPr>
              <w:t>Odp</w:t>
            </w:r>
            <w:r w:rsidRPr="00E469E3">
              <w:rPr>
                <w:rFonts w:ascii="Arial" w:eastAsia="Calibri" w:hAnsi="Arial"/>
                <w:b/>
                <w:sz w:val="24"/>
                <w:szCs w:val="22"/>
                <w:lang w:eastAsia="en-US"/>
              </w:rPr>
              <w:t>.</w:t>
            </w:r>
            <w:r w:rsidRPr="00E469E3">
              <w:rPr>
                <w:rFonts w:ascii="Arial" w:eastAsia="Calibri" w:hAnsi="Arial"/>
                <w:sz w:val="24"/>
                <w:szCs w:val="22"/>
                <w:lang w:eastAsia="en-US"/>
              </w:rPr>
              <w:t xml:space="preserve"> Zamawiający precyzyjnie w dokumentacji postępowania określił wymagania również co do urządzeń. Wykonawca zobowiązany jest wykonać przedmiot zamówienia zgodnie z wymaganiami Zamawiającego.</w:t>
            </w:r>
          </w:p>
          <w:p w:rsidR="00406F8B" w:rsidRDefault="00406F8B" w:rsidP="00E46EBE">
            <w:pPr>
              <w:spacing w:before="360" w:after="360" w:line="360" w:lineRule="auto"/>
              <w:contextualSpacing/>
              <w:rPr>
                <w:rFonts w:ascii="Arial" w:eastAsia="Calibri" w:hAnsi="Arial"/>
                <w:sz w:val="24"/>
                <w:szCs w:val="22"/>
                <w:lang w:eastAsia="en-US"/>
              </w:rPr>
            </w:pPr>
          </w:p>
          <w:p w:rsidR="00E469E3" w:rsidRPr="00E469E3" w:rsidRDefault="00E469E3" w:rsidP="00E46EBE">
            <w:pPr>
              <w:spacing w:before="360" w:after="360" w:line="360" w:lineRule="auto"/>
              <w:contextualSpacing/>
              <w:rPr>
                <w:rFonts w:ascii="Arial" w:eastAsia="Calibri" w:hAnsi="Arial"/>
                <w:sz w:val="24"/>
                <w:szCs w:val="22"/>
                <w:lang w:eastAsia="en-US"/>
              </w:rPr>
            </w:pPr>
            <w:r w:rsidRPr="00E469E3">
              <w:rPr>
                <w:rFonts w:ascii="Arial" w:eastAsia="Calibri" w:hAnsi="Arial"/>
                <w:sz w:val="24"/>
                <w:szCs w:val="22"/>
                <w:lang w:eastAsia="en-US"/>
              </w:rPr>
              <w:t>4) W dokumencie SWZ Zamawiający określił minimalną, wymaganą gwarancję na okres min. 36 miesięcy, tymczasem w Projekcie Wykonawczym dla wymagań gwarancyjnych przełączników sieciowych zapisane zostało: Wymagane jest, aby przełączniki posiadały wykupiony u producenta 5 letni serwis gwarancyjny [...] Prosimy o ujednolicenie zapisów wymagań gwarancyjnych oraz wskazanie wymaganej długości trwania gwarancji dla przełączników sieciowych.</w:t>
            </w:r>
          </w:p>
          <w:p w:rsidR="00E469E3" w:rsidRPr="00E469E3" w:rsidRDefault="00E469E3" w:rsidP="00E46EBE">
            <w:pPr>
              <w:spacing w:before="360" w:after="360" w:line="360" w:lineRule="auto"/>
              <w:contextualSpacing/>
              <w:rPr>
                <w:rFonts w:ascii="Arial" w:eastAsia="Calibri" w:hAnsi="Arial"/>
                <w:sz w:val="24"/>
                <w:szCs w:val="22"/>
                <w:lang w:eastAsia="en-US"/>
              </w:rPr>
            </w:pPr>
            <w:r w:rsidRPr="00E46EBE">
              <w:rPr>
                <w:rFonts w:ascii="Arial" w:eastAsia="Calibri" w:hAnsi="Arial"/>
                <w:b/>
                <w:sz w:val="24"/>
                <w:szCs w:val="22"/>
                <w:lang w:eastAsia="en-US"/>
              </w:rPr>
              <w:t>Odp</w:t>
            </w:r>
            <w:r w:rsidRPr="00E469E3">
              <w:rPr>
                <w:rFonts w:ascii="Arial" w:eastAsia="Calibri" w:hAnsi="Arial"/>
                <w:b/>
                <w:sz w:val="24"/>
                <w:szCs w:val="22"/>
                <w:lang w:eastAsia="en-US"/>
              </w:rPr>
              <w:t>.</w:t>
            </w:r>
            <w:r w:rsidRPr="00E469E3">
              <w:rPr>
                <w:rFonts w:ascii="Arial" w:eastAsia="Calibri" w:hAnsi="Arial"/>
                <w:sz w:val="24"/>
                <w:szCs w:val="22"/>
                <w:lang w:eastAsia="en-US"/>
              </w:rPr>
              <w:t xml:space="preserve"> Zamawiający zmienia SWZ modyfikując zapisy odnośnie gwarancji w następujący sposób: „Wykonawca zobowiązany jest udzielić gwarancji na okres min. 36 miesięcy na przedmiot zamówienia z wyłączeniem systemów i urządzeń objętych przedmiotem zamówienia, dla których gwarancji udziela producent.  W przypadku systemów i urządzeń objętych przedmiotem zamówienia obowiązuje okres gwarancji zgodnie z warunkami gwarancji producenta, jednak nie krótszy niż 36 miesięcy, a w przypadku przełączników sieciowych nie krótszy niż 60 miesięcy.”</w:t>
            </w:r>
          </w:p>
          <w:p w:rsidR="00406F8B" w:rsidRDefault="00406F8B" w:rsidP="00E46EBE">
            <w:pPr>
              <w:spacing w:before="360" w:after="360" w:line="360" w:lineRule="auto"/>
              <w:contextualSpacing/>
              <w:rPr>
                <w:rFonts w:ascii="Arial" w:eastAsia="Calibri" w:hAnsi="Arial"/>
                <w:sz w:val="24"/>
                <w:szCs w:val="22"/>
                <w:lang w:eastAsia="en-US"/>
              </w:rPr>
            </w:pPr>
          </w:p>
          <w:p w:rsidR="00E469E3" w:rsidRDefault="00E469E3" w:rsidP="00E46EBE">
            <w:pPr>
              <w:spacing w:before="360" w:after="360" w:line="360" w:lineRule="auto"/>
              <w:contextualSpacing/>
              <w:rPr>
                <w:rFonts w:ascii="Arial" w:eastAsia="Calibri" w:hAnsi="Arial"/>
                <w:sz w:val="24"/>
                <w:szCs w:val="22"/>
                <w:lang w:eastAsia="en-US"/>
              </w:rPr>
            </w:pPr>
            <w:r w:rsidRPr="00E469E3">
              <w:rPr>
                <w:rFonts w:ascii="Arial" w:eastAsia="Calibri" w:hAnsi="Arial"/>
                <w:sz w:val="24"/>
                <w:szCs w:val="22"/>
                <w:lang w:eastAsia="en-US"/>
              </w:rPr>
              <w:t>5.</w:t>
            </w:r>
            <w:r w:rsidRPr="00E469E3">
              <w:rPr>
                <w:rFonts w:ascii="Arial" w:eastAsia="Calibri" w:hAnsi="Arial"/>
                <w:sz w:val="24"/>
                <w:szCs w:val="22"/>
                <w:lang w:eastAsia="en-US"/>
              </w:rPr>
              <w:tab/>
              <w:t>Zamawiający w pkt 6. SWZ wymaga termin realizacji zamówienia 150 dni. W związku z obecną sytuacją międzynarodową gdzie zaistniały zakłócenia w łańcuchach dostaw i produkcji Zamawiający zgodzi się na wydłużenie terminu realizacji do 200 dni?</w:t>
            </w:r>
          </w:p>
          <w:p w:rsidR="00E469E3" w:rsidRPr="00E469E3" w:rsidRDefault="00E469E3" w:rsidP="00E46EBE">
            <w:pPr>
              <w:spacing w:before="360" w:after="360" w:line="360" w:lineRule="auto"/>
              <w:contextualSpacing/>
              <w:rPr>
                <w:rFonts w:ascii="Arial" w:eastAsia="Calibri" w:hAnsi="Arial"/>
                <w:sz w:val="24"/>
                <w:szCs w:val="22"/>
                <w:lang w:eastAsia="en-US"/>
              </w:rPr>
            </w:pPr>
            <w:r w:rsidRPr="00E46EBE">
              <w:rPr>
                <w:rFonts w:ascii="Arial" w:eastAsia="Calibri" w:hAnsi="Arial"/>
                <w:b/>
                <w:sz w:val="24"/>
                <w:szCs w:val="22"/>
                <w:lang w:eastAsia="en-US"/>
              </w:rPr>
              <w:t>Odp.</w:t>
            </w:r>
            <w:r>
              <w:rPr>
                <w:rFonts w:ascii="Arial" w:eastAsia="Calibri" w:hAnsi="Arial"/>
                <w:sz w:val="24"/>
                <w:szCs w:val="22"/>
                <w:lang w:eastAsia="en-US"/>
              </w:rPr>
              <w:t xml:space="preserve"> </w:t>
            </w:r>
            <w:r w:rsidRPr="00E469E3">
              <w:rPr>
                <w:rFonts w:ascii="Arial" w:eastAsia="Calibri" w:hAnsi="Arial"/>
                <w:sz w:val="24"/>
                <w:szCs w:val="22"/>
                <w:lang w:eastAsia="en-US"/>
              </w:rPr>
              <w:t xml:space="preserve">Zamawiający </w:t>
            </w:r>
            <w:r>
              <w:rPr>
                <w:rFonts w:ascii="Arial" w:eastAsia="Calibri" w:hAnsi="Arial"/>
                <w:sz w:val="24"/>
                <w:szCs w:val="22"/>
                <w:lang w:eastAsia="en-US"/>
              </w:rPr>
              <w:t xml:space="preserve">zmienia </w:t>
            </w:r>
            <w:r w:rsidRPr="00E469E3">
              <w:rPr>
                <w:rFonts w:ascii="Arial" w:eastAsia="Calibri" w:hAnsi="Arial"/>
                <w:sz w:val="24"/>
                <w:szCs w:val="22"/>
                <w:lang w:eastAsia="en-US"/>
              </w:rPr>
              <w:t>termin realizacji zamówienia</w:t>
            </w:r>
            <w:r>
              <w:rPr>
                <w:rFonts w:ascii="Arial" w:eastAsia="Calibri" w:hAnsi="Arial"/>
                <w:sz w:val="24"/>
                <w:szCs w:val="22"/>
                <w:lang w:eastAsia="en-US"/>
              </w:rPr>
              <w:t xml:space="preserve"> na</w:t>
            </w:r>
            <w:r w:rsidRPr="00E469E3">
              <w:rPr>
                <w:rFonts w:ascii="Arial" w:eastAsia="Calibri" w:hAnsi="Arial"/>
                <w:sz w:val="24"/>
                <w:szCs w:val="22"/>
                <w:lang w:eastAsia="en-US"/>
              </w:rPr>
              <w:t xml:space="preserve"> do 175 dni</w:t>
            </w:r>
            <w:r>
              <w:rPr>
                <w:rFonts w:ascii="Arial" w:eastAsia="Calibri" w:hAnsi="Arial"/>
                <w:sz w:val="24"/>
                <w:szCs w:val="22"/>
                <w:lang w:eastAsia="en-US"/>
              </w:rPr>
              <w:t>.</w:t>
            </w:r>
          </w:p>
          <w:p w:rsidR="00406F8B" w:rsidRDefault="00406F8B" w:rsidP="00E46EBE">
            <w:pPr>
              <w:spacing w:before="360" w:after="360" w:line="360" w:lineRule="auto"/>
              <w:contextualSpacing/>
              <w:rPr>
                <w:rFonts w:ascii="Arial" w:eastAsia="Calibri" w:hAnsi="Arial"/>
                <w:sz w:val="24"/>
                <w:szCs w:val="22"/>
                <w:lang w:eastAsia="en-US"/>
              </w:rPr>
            </w:pPr>
          </w:p>
          <w:p w:rsidR="00E469E3" w:rsidRDefault="00E469E3" w:rsidP="00E46EBE">
            <w:pPr>
              <w:spacing w:before="360" w:after="360" w:line="360" w:lineRule="auto"/>
              <w:contextualSpacing/>
              <w:rPr>
                <w:rFonts w:ascii="Arial" w:eastAsia="Calibri" w:hAnsi="Arial"/>
                <w:sz w:val="24"/>
                <w:szCs w:val="22"/>
                <w:lang w:eastAsia="en-US"/>
              </w:rPr>
            </w:pPr>
            <w:r w:rsidRPr="00E469E3">
              <w:rPr>
                <w:rFonts w:ascii="Arial" w:eastAsia="Calibri" w:hAnsi="Arial"/>
                <w:sz w:val="24"/>
                <w:szCs w:val="22"/>
                <w:lang w:eastAsia="en-US"/>
              </w:rPr>
              <w:t>6.</w:t>
            </w:r>
            <w:r w:rsidRPr="00E469E3">
              <w:rPr>
                <w:rFonts w:ascii="Arial" w:eastAsia="Calibri" w:hAnsi="Arial"/>
                <w:sz w:val="24"/>
                <w:szCs w:val="22"/>
                <w:lang w:eastAsia="en-US"/>
              </w:rPr>
              <w:tab/>
              <w:t>Zamawiający oczekuje instalacji klimatyzatorów rzędowych o mocy minimalnej jawnej 22 kW (moc całkowita 25kW). Moc jawna jest mocą odpowiadającą wychłodzeniu sprzętu oddającego ciepło w postaci strat (np. serwery i sprzęt IT). Moc całkowita jest mocą brutto, która składa się z mocy jawnej oraz mocy potrzebnej do wykroplenia w procesie chłodzenia. Czy Zamawiający zgodzi się pominąć wymaganie dotyczące mocy całkowitej jako nieistotnej dla mocy chłodzenia urządzeń IT?</w:t>
            </w:r>
          </w:p>
          <w:p w:rsidR="00E469E3" w:rsidRPr="00E469E3" w:rsidRDefault="00E469E3" w:rsidP="00E46EBE">
            <w:pPr>
              <w:spacing w:before="360" w:after="360" w:line="360" w:lineRule="auto"/>
              <w:contextualSpacing/>
              <w:rPr>
                <w:rFonts w:ascii="Arial" w:eastAsia="Calibri" w:hAnsi="Arial"/>
                <w:sz w:val="24"/>
                <w:szCs w:val="22"/>
                <w:lang w:eastAsia="en-US"/>
              </w:rPr>
            </w:pPr>
            <w:r w:rsidRPr="00E46EBE">
              <w:rPr>
                <w:rFonts w:ascii="Arial" w:eastAsia="Calibri" w:hAnsi="Arial"/>
                <w:b/>
                <w:sz w:val="24"/>
                <w:szCs w:val="22"/>
                <w:lang w:eastAsia="en-US"/>
              </w:rPr>
              <w:t>Odp.</w:t>
            </w:r>
            <w:r w:rsidRPr="00E469E3">
              <w:rPr>
                <w:rFonts w:ascii="Arial" w:hAnsi="Arial" w:cs="Arial"/>
                <w:iCs/>
                <w:shd w:val="clear" w:color="auto" w:fill="FFFFFF"/>
              </w:rPr>
              <w:t xml:space="preserve"> </w:t>
            </w:r>
            <w:r w:rsidRPr="00E469E3">
              <w:rPr>
                <w:rFonts w:ascii="Arial" w:eastAsia="Calibri" w:hAnsi="Arial"/>
                <w:iCs/>
                <w:sz w:val="24"/>
                <w:szCs w:val="22"/>
                <w:lang w:eastAsia="en-US"/>
              </w:rPr>
              <w:t>Nie można pominąć wymagania dotyczącego mocy całkowitej.</w:t>
            </w:r>
          </w:p>
          <w:p w:rsidR="00406F8B" w:rsidRDefault="00406F8B" w:rsidP="00E46EBE">
            <w:pPr>
              <w:spacing w:before="360" w:after="360" w:line="360" w:lineRule="auto"/>
              <w:contextualSpacing/>
              <w:rPr>
                <w:rFonts w:ascii="Arial" w:eastAsia="Calibri" w:hAnsi="Arial"/>
                <w:sz w:val="24"/>
                <w:szCs w:val="22"/>
                <w:lang w:eastAsia="en-US"/>
              </w:rPr>
            </w:pPr>
          </w:p>
          <w:p w:rsidR="00E469E3" w:rsidRPr="00E469E3" w:rsidRDefault="00E469E3" w:rsidP="00E46EBE">
            <w:pPr>
              <w:spacing w:before="360" w:after="360" w:line="360" w:lineRule="auto"/>
              <w:contextualSpacing/>
              <w:rPr>
                <w:rFonts w:ascii="Arial" w:eastAsia="Calibri" w:hAnsi="Arial"/>
                <w:sz w:val="24"/>
                <w:szCs w:val="22"/>
                <w:lang w:eastAsia="en-US"/>
              </w:rPr>
            </w:pPr>
            <w:r w:rsidRPr="00E469E3">
              <w:rPr>
                <w:rFonts w:ascii="Arial" w:eastAsia="Calibri" w:hAnsi="Arial"/>
                <w:sz w:val="24"/>
                <w:szCs w:val="22"/>
                <w:lang w:eastAsia="en-US"/>
              </w:rPr>
              <w:t>7.</w:t>
            </w:r>
            <w:r w:rsidRPr="00E469E3">
              <w:rPr>
                <w:rFonts w:ascii="Arial" w:eastAsia="Calibri" w:hAnsi="Arial"/>
                <w:sz w:val="24"/>
                <w:szCs w:val="22"/>
                <w:lang w:eastAsia="en-US"/>
              </w:rPr>
              <w:tab/>
              <w:t>Wykonawca wnosi o zmianę kryterium ocen w zakresie udzielonej gwarancji. Określenie gwarancji gwarantującej max. ilość punktów na poziomie 84 miesięcy jest w obecnej sytuacji ekonomicznej i rynkowej mocno ryzykowne. Zdecydowana większość dostawców urządzeń udziela max. gwarancji na poziomie 36 miesięcy a koszt wydłużenia gwarancji do 84 miesięcy jest bardzo wysoki, często przewyższający zakup samych urządzeń oraz na roboty budowlane na 60 miesięcy. Wykonawca wnosi o rozdzielenie gwarancji na gwarancje dla dostarczonego sprzętu i na wykonane roboty budowlane i systemy technologiczne i ustalenie niższych progów punktowanych</w:t>
            </w:r>
          </w:p>
          <w:p w:rsidR="00E469E3" w:rsidRPr="00E469E3" w:rsidRDefault="000518C0" w:rsidP="00E46EBE">
            <w:pPr>
              <w:spacing w:before="360" w:after="360" w:line="360" w:lineRule="auto"/>
              <w:contextualSpacing/>
              <w:rPr>
                <w:rFonts w:ascii="Arial" w:eastAsia="Calibri" w:hAnsi="Arial"/>
                <w:sz w:val="24"/>
                <w:szCs w:val="22"/>
                <w:lang w:eastAsia="en-US"/>
              </w:rPr>
            </w:pPr>
            <w:r w:rsidRPr="00E46EBE">
              <w:rPr>
                <w:rFonts w:ascii="Arial" w:eastAsia="Calibri" w:hAnsi="Arial"/>
                <w:b/>
                <w:sz w:val="24"/>
                <w:szCs w:val="22"/>
                <w:lang w:eastAsia="en-US"/>
              </w:rPr>
              <w:t>Odp</w:t>
            </w:r>
            <w:r w:rsidR="00E469E3" w:rsidRPr="00E469E3">
              <w:rPr>
                <w:rFonts w:ascii="Arial" w:eastAsia="Calibri" w:hAnsi="Arial"/>
                <w:b/>
                <w:sz w:val="24"/>
                <w:szCs w:val="22"/>
                <w:lang w:eastAsia="en-US"/>
              </w:rPr>
              <w:t>.</w:t>
            </w:r>
            <w:r w:rsidR="00E469E3" w:rsidRPr="00E469E3">
              <w:rPr>
                <w:rFonts w:ascii="Arial" w:eastAsia="Calibri" w:hAnsi="Arial"/>
                <w:sz w:val="24"/>
                <w:szCs w:val="22"/>
                <w:lang w:eastAsia="en-US"/>
              </w:rPr>
              <w:t xml:space="preserve"> Zamawiający nie wyraża zgodny na proponowaną zmianę. Jednocześnie zwracając uwagę, że gwarancja która oceniana jest w kryterium oceny ofert dotyczy </w:t>
            </w:r>
            <w:r>
              <w:rPr>
                <w:rFonts w:ascii="Arial" w:eastAsia="Calibri" w:hAnsi="Arial"/>
                <w:sz w:val="24"/>
                <w:szCs w:val="22"/>
                <w:lang w:eastAsia="en-US"/>
              </w:rPr>
              <w:t xml:space="preserve">wyłącznie </w:t>
            </w:r>
            <w:r w:rsidR="00E469E3" w:rsidRPr="00E469E3">
              <w:rPr>
                <w:rFonts w:ascii="Arial" w:eastAsia="Calibri" w:hAnsi="Arial"/>
                <w:sz w:val="24"/>
                <w:szCs w:val="22"/>
                <w:lang w:eastAsia="en-US"/>
              </w:rPr>
              <w:t>przedmiotu zamówienia</w:t>
            </w:r>
            <w:r w:rsidR="00E469E3" w:rsidRPr="00E469E3">
              <w:rPr>
                <w:rFonts w:ascii="Arial" w:eastAsia="Calibri" w:hAnsi="Arial"/>
                <w:b/>
                <w:sz w:val="24"/>
                <w:szCs w:val="22"/>
                <w:lang w:eastAsia="en-US"/>
              </w:rPr>
              <w:t>. W przypadku systemów i urządzeń objętych przedmiotem</w:t>
            </w:r>
            <w:r w:rsidR="00E469E3" w:rsidRPr="00E469E3">
              <w:rPr>
                <w:rFonts w:ascii="Arial" w:eastAsia="Calibri" w:hAnsi="Arial"/>
                <w:sz w:val="24"/>
                <w:szCs w:val="22"/>
                <w:lang w:eastAsia="en-US"/>
              </w:rPr>
              <w:t xml:space="preserve"> zamówienia obowiązuje okres gwarancji zgodnie z warunkami gwarancji producenta, jednak nie krótszy niż 36 miesięcy, a w przypadku przełączników sieciowych nie krótszy niż 60 miesięcy. </w:t>
            </w:r>
          </w:p>
          <w:p w:rsidR="00406F8B" w:rsidRDefault="00406F8B" w:rsidP="00E46EBE">
            <w:pPr>
              <w:spacing w:before="360" w:after="360" w:line="360" w:lineRule="auto"/>
              <w:contextualSpacing/>
              <w:rPr>
                <w:rFonts w:ascii="Arial" w:eastAsia="Calibri" w:hAnsi="Arial"/>
                <w:sz w:val="24"/>
                <w:szCs w:val="22"/>
                <w:lang w:eastAsia="en-US"/>
              </w:rPr>
            </w:pPr>
          </w:p>
          <w:p w:rsidR="00E469E3" w:rsidRPr="00E469E3" w:rsidRDefault="00E469E3" w:rsidP="00E46EBE">
            <w:pPr>
              <w:spacing w:before="360" w:after="360" w:line="360" w:lineRule="auto"/>
              <w:contextualSpacing/>
              <w:rPr>
                <w:rFonts w:ascii="Arial" w:eastAsia="Calibri" w:hAnsi="Arial"/>
                <w:sz w:val="24"/>
                <w:szCs w:val="22"/>
                <w:lang w:eastAsia="en-US"/>
              </w:rPr>
            </w:pPr>
            <w:r w:rsidRPr="00E469E3">
              <w:rPr>
                <w:rFonts w:ascii="Arial" w:eastAsia="Calibri" w:hAnsi="Arial"/>
                <w:sz w:val="24"/>
                <w:szCs w:val="22"/>
                <w:lang w:eastAsia="en-US"/>
              </w:rPr>
              <w:t>8.</w:t>
            </w:r>
            <w:r w:rsidRPr="00E469E3">
              <w:rPr>
                <w:rFonts w:ascii="Arial" w:eastAsia="Calibri" w:hAnsi="Arial"/>
                <w:sz w:val="24"/>
                <w:szCs w:val="22"/>
                <w:lang w:eastAsia="en-US"/>
              </w:rPr>
              <w:tab/>
              <w:t xml:space="preserve">Zgodnie z pkt 5 opisu instalacji elektrycznych „Serwerownia będzie zasilana ze stacji ST-5 za pośrednictwem nowo projektowanej linii kablowej </w:t>
            </w:r>
            <w:proofErr w:type="spellStart"/>
            <w:r w:rsidRPr="00E469E3">
              <w:rPr>
                <w:rFonts w:ascii="Arial" w:eastAsia="Calibri" w:hAnsi="Arial"/>
                <w:sz w:val="24"/>
                <w:szCs w:val="22"/>
                <w:lang w:eastAsia="en-US"/>
              </w:rPr>
              <w:t>nN.</w:t>
            </w:r>
            <w:proofErr w:type="spellEnd"/>
            <w:r w:rsidRPr="00E469E3">
              <w:rPr>
                <w:rFonts w:ascii="Arial" w:eastAsia="Calibri" w:hAnsi="Arial"/>
                <w:sz w:val="24"/>
                <w:szCs w:val="22"/>
                <w:lang w:eastAsia="en-US"/>
              </w:rPr>
              <w:t xml:space="preserve"> Linię kablową należy w obrębie budynku stacji prowadzić w istniejącym kanale kablowym, a następnie wyprowadzić na zewnątrz z budynku stacji przez nowy przepust kablowy”.</w:t>
            </w:r>
            <w:r w:rsidR="000518C0">
              <w:rPr>
                <w:rFonts w:ascii="Arial" w:eastAsia="Calibri" w:hAnsi="Arial"/>
                <w:sz w:val="24"/>
                <w:szCs w:val="22"/>
                <w:lang w:eastAsia="en-US"/>
              </w:rPr>
              <w:t xml:space="preserve"> </w:t>
            </w:r>
            <w:r w:rsidRPr="00E469E3">
              <w:rPr>
                <w:rFonts w:ascii="Arial" w:eastAsia="Calibri" w:hAnsi="Arial"/>
                <w:sz w:val="24"/>
                <w:szCs w:val="22"/>
                <w:lang w:eastAsia="en-US"/>
              </w:rPr>
              <w:t>Czy Zamawiający zapewnia że istniejąca kanalizacja kablowa ma rezerwy na dołożenie kabla niezbędnego do wykonania zasilania?</w:t>
            </w:r>
          </w:p>
          <w:p w:rsidR="00E469E3" w:rsidRPr="00E469E3" w:rsidRDefault="000518C0" w:rsidP="00E46EBE">
            <w:pPr>
              <w:spacing w:before="360" w:after="360" w:line="360" w:lineRule="auto"/>
              <w:contextualSpacing/>
              <w:rPr>
                <w:rFonts w:ascii="Arial" w:eastAsia="Calibri" w:hAnsi="Arial"/>
                <w:sz w:val="24"/>
                <w:szCs w:val="22"/>
                <w:lang w:eastAsia="en-US"/>
              </w:rPr>
            </w:pPr>
            <w:r w:rsidRPr="00E46EBE">
              <w:rPr>
                <w:rFonts w:ascii="Arial" w:eastAsia="Calibri" w:hAnsi="Arial"/>
                <w:b/>
                <w:sz w:val="24"/>
                <w:szCs w:val="22"/>
                <w:lang w:eastAsia="en-US"/>
              </w:rPr>
              <w:t>Odp.</w:t>
            </w:r>
            <w:r>
              <w:t xml:space="preserve"> </w:t>
            </w:r>
            <w:r w:rsidRPr="000518C0">
              <w:rPr>
                <w:rFonts w:ascii="Arial" w:eastAsia="Calibri" w:hAnsi="Arial"/>
                <w:sz w:val="24"/>
                <w:szCs w:val="22"/>
                <w:lang w:eastAsia="en-US"/>
              </w:rPr>
              <w:t>Zamawiający potwierdza, że istniejąca kanalizacja kablowa w obrębie budynku stacji ST-5 ma rezerwy na dołożenie kabla niezbędnego do wykonania zasilania. Pozostała część kanalizacji kablowej - do wykonania zgodnie z projektem.</w:t>
            </w:r>
          </w:p>
          <w:p w:rsidR="00E469E3" w:rsidRPr="00E469E3" w:rsidRDefault="00E469E3" w:rsidP="00E46EBE">
            <w:pPr>
              <w:spacing w:before="360" w:after="360" w:line="360" w:lineRule="auto"/>
              <w:contextualSpacing/>
              <w:rPr>
                <w:rFonts w:ascii="Arial" w:eastAsia="Calibri" w:hAnsi="Arial"/>
                <w:sz w:val="24"/>
                <w:szCs w:val="22"/>
                <w:lang w:eastAsia="en-US"/>
              </w:rPr>
            </w:pPr>
            <w:r w:rsidRPr="00E469E3">
              <w:rPr>
                <w:rFonts w:ascii="Arial" w:eastAsia="Calibri" w:hAnsi="Arial"/>
                <w:sz w:val="24"/>
                <w:szCs w:val="22"/>
                <w:lang w:eastAsia="en-US"/>
              </w:rPr>
              <w:t>9.</w:t>
            </w:r>
            <w:r w:rsidRPr="00E469E3">
              <w:rPr>
                <w:rFonts w:ascii="Arial" w:eastAsia="Calibri" w:hAnsi="Arial"/>
                <w:sz w:val="24"/>
                <w:szCs w:val="22"/>
                <w:lang w:eastAsia="en-US"/>
              </w:rPr>
              <w:tab/>
              <w:t>Czy Zamawiający zaakceptuje UPS składający się z 4 modułów po 20 kW pracujących w układzie N+1 zamiast 3 modułów po 30 kW pracujących w układzie N+1? Zaproponowana zmiana nie wpłynie na obniżenie dostępnej mocy efektywnej (która wynosi 60 kW) oraz nie wpłynie na dostępność funkcjonalności redundancji.</w:t>
            </w:r>
          </w:p>
          <w:p w:rsidR="00E469E3" w:rsidRPr="00E469E3" w:rsidRDefault="000518C0" w:rsidP="00E46EBE">
            <w:pPr>
              <w:spacing w:before="360" w:after="360" w:line="360" w:lineRule="auto"/>
              <w:contextualSpacing/>
              <w:rPr>
                <w:rFonts w:ascii="Arial" w:eastAsia="Calibri" w:hAnsi="Arial"/>
                <w:sz w:val="24"/>
                <w:szCs w:val="22"/>
                <w:lang w:eastAsia="en-US"/>
              </w:rPr>
            </w:pPr>
            <w:r w:rsidRPr="00E46EBE">
              <w:rPr>
                <w:rFonts w:ascii="Arial" w:eastAsia="Calibri" w:hAnsi="Arial"/>
                <w:b/>
                <w:sz w:val="24"/>
                <w:szCs w:val="22"/>
                <w:lang w:eastAsia="en-US"/>
              </w:rPr>
              <w:t>Odp</w:t>
            </w:r>
            <w:r>
              <w:rPr>
                <w:rFonts w:ascii="Arial" w:eastAsia="Calibri" w:hAnsi="Arial"/>
                <w:sz w:val="24"/>
                <w:szCs w:val="22"/>
                <w:lang w:eastAsia="en-US"/>
              </w:rPr>
              <w:t>.</w:t>
            </w:r>
            <w:r>
              <w:t xml:space="preserve"> </w:t>
            </w:r>
            <w:r w:rsidRPr="000518C0">
              <w:rPr>
                <w:rFonts w:ascii="Arial" w:eastAsia="Calibri" w:hAnsi="Arial"/>
                <w:sz w:val="24"/>
                <w:szCs w:val="22"/>
                <w:lang w:eastAsia="en-US"/>
              </w:rPr>
              <w:t>Zamawiający zaakceptuje zmiany pod warunkiem, że zaproponowane rozwiązanie pozwoli na rozbudowę do min. 90 kW</w:t>
            </w:r>
          </w:p>
          <w:p w:rsidR="00406F8B" w:rsidRDefault="00406F8B" w:rsidP="00E46EBE">
            <w:pPr>
              <w:spacing w:before="360" w:after="360" w:line="360" w:lineRule="auto"/>
              <w:contextualSpacing/>
              <w:rPr>
                <w:rFonts w:ascii="Arial" w:eastAsia="Calibri" w:hAnsi="Arial"/>
                <w:sz w:val="24"/>
                <w:szCs w:val="22"/>
                <w:lang w:eastAsia="en-US"/>
              </w:rPr>
            </w:pPr>
          </w:p>
          <w:p w:rsidR="00E469E3" w:rsidRDefault="00E469E3" w:rsidP="00E46EBE">
            <w:pPr>
              <w:spacing w:before="360" w:after="360" w:line="360" w:lineRule="auto"/>
              <w:contextualSpacing/>
              <w:rPr>
                <w:rFonts w:ascii="Arial" w:eastAsia="Calibri" w:hAnsi="Arial"/>
                <w:sz w:val="24"/>
                <w:szCs w:val="22"/>
                <w:lang w:eastAsia="en-US"/>
              </w:rPr>
            </w:pPr>
            <w:r w:rsidRPr="00E469E3">
              <w:rPr>
                <w:rFonts w:ascii="Arial" w:eastAsia="Calibri" w:hAnsi="Arial"/>
                <w:sz w:val="24"/>
                <w:szCs w:val="22"/>
                <w:lang w:eastAsia="en-US"/>
              </w:rPr>
              <w:t>10.</w:t>
            </w:r>
            <w:r w:rsidRPr="00E469E3">
              <w:rPr>
                <w:rFonts w:ascii="Arial" w:eastAsia="Calibri" w:hAnsi="Arial"/>
                <w:sz w:val="24"/>
                <w:szCs w:val="22"/>
                <w:lang w:eastAsia="en-US"/>
              </w:rPr>
              <w:tab/>
              <w:t xml:space="preserve">Czy Zamawiający dopuści zasilacz UPS typu RI tj. do montażu w szafie </w:t>
            </w:r>
            <w:proofErr w:type="spellStart"/>
            <w:r w:rsidRPr="00E469E3">
              <w:rPr>
                <w:rFonts w:ascii="Arial" w:eastAsia="Calibri" w:hAnsi="Arial"/>
                <w:sz w:val="24"/>
                <w:szCs w:val="22"/>
                <w:lang w:eastAsia="en-US"/>
              </w:rPr>
              <w:t>rack</w:t>
            </w:r>
            <w:proofErr w:type="spellEnd"/>
            <w:r w:rsidRPr="00E469E3">
              <w:rPr>
                <w:rFonts w:ascii="Arial" w:eastAsia="Calibri" w:hAnsi="Arial"/>
                <w:sz w:val="24"/>
                <w:szCs w:val="22"/>
                <w:lang w:eastAsia="en-US"/>
              </w:rPr>
              <w:t xml:space="preserve"> – pozwala on na montaż w każdej dostępnej szafie </w:t>
            </w:r>
            <w:proofErr w:type="spellStart"/>
            <w:r w:rsidRPr="00E469E3">
              <w:rPr>
                <w:rFonts w:ascii="Arial" w:eastAsia="Calibri" w:hAnsi="Arial"/>
                <w:sz w:val="24"/>
                <w:szCs w:val="22"/>
                <w:lang w:eastAsia="en-US"/>
              </w:rPr>
              <w:t>rack</w:t>
            </w:r>
            <w:proofErr w:type="spellEnd"/>
            <w:r w:rsidRPr="00E469E3">
              <w:rPr>
                <w:rFonts w:ascii="Arial" w:eastAsia="Calibri" w:hAnsi="Arial"/>
                <w:sz w:val="24"/>
                <w:szCs w:val="22"/>
                <w:lang w:eastAsia="en-US"/>
              </w:rPr>
              <w:t xml:space="preserve"> dowolnego producenta co zwiększa możliwości jego zastosowania.</w:t>
            </w:r>
          </w:p>
          <w:p w:rsidR="000518C0" w:rsidRPr="00E469E3" w:rsidRDefault="000518C0" w:rsidP="00E46EBE">
            <w:pPr>
              <w:spacing w:before="360" w:after="360" w:line="360" w:lineRule="auto"/>
              <w:contextualSpacing/>
              <w:rPr>
                <w:rFonts w:ascii="Arial" w:eastAsia="Calibri" w:hAnsi="Arial"/>
                <w:sz w:val="24"/>
                <w:szCs w:val="22"/>
                <w:lang w:eastAsia="en-US"/>
              </w:rPr>
            </w:pPr>
            <w:r w:rsidRPr="00E46EBE">
              <w:rPr>
                <w:rFonts w:ascii="Arial" w:eastAsia="Calibri" w:hAnsi="Arial"/>
                <w:b/>
                <w:sz w:val="24"/>
                <w:szCs w:val="22"/>
                <w:lang w:eastAsia="en-US"/>
              </w:rPr>
              <w:t>Odp.</w:t>
            </w:r>
            <w:r>
              <w:rPr>
                <w:rFonts w:ascii="Arial" w:eastAsia="Calibri" w:hAnsi="Arial"/>
                <w:sz w:val="24"/>
                <w:szCs w:val="22"/>
                <w:lang w:eastAsia="en-US"/>
              </w:rPr>
              <w:t xml:space="preserve"> </w:t>
            </w:r>
            <w:r w:rsidRPr="000518C0">
              <w:rPr>
                <w:rFonts w:ascii="Arial" w:eastAsia="Calibri" w:hAnsi="Arial"/>
                <w:sz w:val="24"/>
                <w:szCs w:val="22"/>
                <w:lang w:eastAsia="en-US"/>
              </w:rPr>
              <w:t>Zamawiający nie dopuszcza proponowanej zmiany.</w:t>
            </w:r>
          </w:p>
          <w:p w:rsidR="00406F8B" w:rsidRDefault="00406F8B" w:rsidP="00E46EBE">
            <w:pPr>
              <w:spacing w:before="360" w:after="360" w:line="360" w:lineRule="auto"/>
              <w:contextualSpacing/>
              <w:rPr>
                <w:rFonts w:ascii="Arial" w:eastAsia="Calibri" w:hAnsi="Arial"/>
                <w:sz w:val="24"/>
                <w:szCs w:val="22"/>
                <w:lang w:eastAsia="en-US"/>
              </w:rPr>
            </w:pPr>
          </w:p>
          <w:p w:rsidR="00E469E3" w:rsidRDefault="00E469E3" w:rsidP="00E46EBE">
            <w:pPr>
              <w:spacing w:before="360" w:after="360" w:line="360" w:lineRule="auto"/>
              <w:contextualSpacing/>
              <w:rPr>
                <w:rFonts w:ascii="Arial" w:eastAsia="Calibri" w:hAnsi="Arial"/>
                <w:sz w:val="24"/>
                <w:szCs w:val="22"/>
                <w:lang w:eastAsia="en-US"/>
              </w:rPr>
            </w:pPr>
            <w:r w:rsidRPr="00E469E3">
              <w:rPr>
                <w:rFonts w:ascii="Arial" w:eastAsia="Calibri" w:hAnsi="Arial"/>
                <w:sz w:val="24"/>
                <w:szCs w:val="22"/>
                <w:lang w:eastAsia="en-US"/>
              </w:rPr>
              <w:t>11.</w:t>
            </w:r>
            <w:r w:rsidRPr="00E469E3">
              <w:rPr>
                <w:rFonts w:ascii="Arial" w:eastAsia="Calibri" w:hAnsi="Arial"/>
                <w:sz w:val="24"/>
                <w:szCs w:val="22"/>
                <w:lang w:eastAsia="en-US"/>
              </w:rPr>
              <w:tab/>
              <w:t>Czy w przypadku gdy oferent złoży ofertę z gwarancją na 84 miesiące, to powinien uwzględnić w ofercie wymagany 7 letni przegląd wszystkich instalacji (jest to znaczny koszt biorąc pod uwagę różne branże i urządzenia) , czy też będzie to realizowane przez Zamawiającego łącznie z przeglądem instalacji na całym obiekcie przez odrębnie wybrany podmiot? Najczęściej przeglądy są wymagane przez Producenta do utrzymania gwarancji.</w:t>
            </w:r>
          </w:p>
          <w:p w:rsidR="000518C0" w:rsidRDefault="000518C0" w:rsidP="00E46EBE">
            <w:pPr>
              <w:spacing w:before="360" w:after="360" w:line="360" w:lineRule="auto"/>
              <w:contextualSpacing/>
              <w:rPr>
                <w:rFonts w:ascii="Arial" w:eastAsia="Calibri" w:hAnsi="Arial"/>
                <w:sz w:val="24"/>
                <w:szCs w:val="22"/>
                <w:lang w:eastAsia="en-US"/>
              </w:rPr>
            </w:pPr>
            <w:r w:rsidRPr="00E46EBE">
              <w:rPr>
                <w:rFonts w:ascii="Arial" w:eastAsia="Calibri" w:hAnsi="Arial"/>
                <w:b/>
                <w:sz w:val="24"/>
                <w:szCs w:val="22"/>
                <w:lang w:eastAsia="en-US"/>
              </w:rPr>
              <w:t>Odp.</w:t>
            </w:r>
            <w:r>
              <w:rPr>
                <w:rFonts w:ascii="Arial" w:eastAsia="Calibri" w:hAnsi="Arial"/>
                <w:sz w:val="24"/>
                <w:szCs w:val="22"/>
                <w:lang w:eastAsia="en-US"/>
              </w:rPr>
              <w:t xml:space="preserve"> </w:t>
            </w:r>
            <w:r w:rsidRPr="000518C0">
              <w:rPr>
                <w:rFonts w:ascii="Arial" w:eastAsia="Calibri" w:hAnsi="Arial"/>
                <w:sz w:val="24"/>
                <w:szCs w:val="22"/>
                <w:lang w:eastAsia="en-US"/>
              </w:rPr>
              <w:t>Zgodnie z projektem umowy - §12 Gwarancje pn.4 i pn.5 :</w:t>
            </w:r>
            <w:r>
              <w:rPr>
                <w:rFonts w:ascii="Arial" w:eastAsia="Calibri" w:hAnsi="Arial"/>
                <w:sz w:val="24"/>
                <w:szCs w:val="22"/>
                <w:lang w:eastAsia="en-US"/>
              </w:rPr>
              <w:t xml:space="preserve"> </w:t>
            </w:r>
            <w:r w:rsidRPr="000518C0">
              <w:rPr>
                <w:rFonts w:ascii="Arial" w:eastAsia="Calibri" w:hAnsi="Arial"/>
                <w:sz w:val="24"/>
                <w:szCs w:val="22"/>
                <w:lang w:eastAsia="en-US"/>
              </w:rPr>
              <w:t>Gwarancja obejmuje wykonanie przeglądów i badań okresowych systemów i urządzeń objętych przedmiotem umowy wymaganych obowiązującymi przepisami oraz wymaganiami producentów systemów i urządzeń niezbędnych do ich prawidłowej eksploatacji i funkcjonowania.</w:t>
            </w:r>
            <w:r>
              <w:rPr>
                <w:rFonts w:ascii="Arial" w:eastAsia="Calibri" w:hAnsi="Arial"/>
                <w:sz w:val="24"/>
                <w:szCs w:val="22"/>
                <w:lang w:eastAsia="en-US"/>
              </w:rPr>
              <w:t xml:space="preserve"> </w:t>
            </w:r>
            <w:r w:rsidRPr="000518C0">
              <w:rPr>
                <w:rFonts w:ascii="Arial" w:eastAsia="Calibri" w:hAnsi="Arial"/>
                <w:sz w:val="24"/>
                <w:szCs w:val="22"/>
                <w:lang w:eastAsia="en-US"/>
              </w:rPr>
              <w:t>Realizacja przeglądów i badań okresowych systemów i urządzeń objętych przedmiotem umowy została wkalkulowana w cenę oferty.</w:t>
            </w:r>
          </w:p>
          <w:p w:rsidR="00406F8B" w:rsidRDefault="00406F8B" w:rsidP="00E46EBE">
            <w:pPr>
              <w:spacing w:before="360" w:after="360" w:line="360" w:lineRule="auto"/>
              <w:contextualSpacing/>
              <w:rPr>
                <w:rFonts w:ascii="Arial" w:eastAsia="Calibri" w:hAnsi="Arial"/>
                <w:sz w:val="24"/>
                <w:szCs w:val="22"/>
                <w:lang w:eastAsia="en-US"/>
              </w:rPr>
            </w:pPr>
          </w:p>
          <w:p w:rsidR="00E469E3" w:rsidRDefault="00E469E3" w:rsidP="00E46EBE">
            <w:pPr>
              <w:spacing w:before="360" w:after="360" w:line="360" w:lineRule="auto"/>
              <w:contextualSpacing/>
              <w:rPr>
                <w:rFonts w:ascii="Arial" w:eastAsia="Calibri" w:hAnsi="Arial"/>
                <w:sz w:val="24"/>
                <w:szCs w:val="22"/>
                <w:lang w:eastAsia="en-US"/>
              </w:rPr>
            </w:pPr>
            <w:r w:rsidRPr="00E469E3">
              <w:rPr>
                <w:rFonts w:ascii="Arial" w:eastAsia="Calibri" w:hAnsi="Arial"/>
                <w:sz w:val="24"/>
                <w:szCs w:val="22"/>
                <w:lang w:eastAsia="en-US"/>
              </w:rPr>
              <w:t>12.</w:t>
            </w:r>
            <w:r w:rsidRPr="00E469E3">
              <w:rPr>
                <w:rFonts w:ascii="Arial" w:eastAsia="Calibri" w:hAnsi="Arial"/>
                <w:sz w:val="24"/>
                <w:szCs w:val="22"/>
                <w:lang w:eastAsia="en-US"/>
              </w:rPr>
              <w:tab/>
              <w:t xml:space="preserve">Wykonawca wnosi o potwierdzenie iż końcowa procedura odbiorowa nie jest wliczana do terminu realizacji przedmiotu zamówienia tj. terminem zakończenia realizacji przedmiotu umowy </w:t>
            </w:r>
            <w:proofErr w:type="spellStart"/>
            <w:r w:rsidRPr="00E469E3">
              <w:rPr>
                <w:rFonts w:ascii="Arial" w:eastAsia="Calibri" w:hAnsi="Arial"/>
                <w:sz w:val="24"/>
                <w:szCs w:val="22"/>
                <w:lang w:eastAsia="en-US"/>
              </w:rPr>
              <w:t>tj</w:t>
            </w:r>
            <w:proofErr w:type="spellEnd"/>
            <w:r w:rsidRPr="00E469E3">
              <w:rPr>
                <w:rFonts w:ascii="Arial" w:eastAsia="Calibri" w:hAnsi="Arial"/>
                <w:sz w:val="24"/>
                <w:szCs w:val="22"/>
                <w:lang w:eastAsia="en-US"/>
              </w:rPr>
              <w:t xml:space="preserve"> data zgłoszenia gotowości do odbioru końcowego</w:t>
            </w:r>
          </w:p>
          <w:p w:rsidR="000518C0" w:rsidRPr="00E469E3" w:rsidRDefault="000518C0" w:rsidP="00E46EBE">
            <w:pPr>
              <w:spacing w:before="360" w:after="360" w:line="360" w:lineRule="auto"/>
              <w:contextualSpacing/>
              <w:rPr>
                <w:rFonts w:ascii="Arial" w:eastAsia="Calibri" w:hAnsi="Arial"/>
                <w:sz w:val="24"/>
                <w:szCs w:val="22"/>
                <w:lang w:eastAsia="en-US"/>
              </w:rPr>
            </w:pPr>
            <w:r w:rsidRPr="00BC760A">
              <w:rPr>
                <w:rFonts w:ascii="Arial" w:eastAsia="Calibri" w:hAnsi="Arial"/>
                <w:b/>
                <w:sz w:val="24"/>
                <w:szCs w:val="22"/>
                <w:lang w:eastAsia="en-US"/>
              </w:rPr>
              <w:t>Odp.</w:t>
            </w:r>
            <w:r>
              <w:rPr>
                <w:rFonts w:ascii="Arial" w:eastAsia="Calibri" w:hAnsi="Arial"/>
                <w:sz w:val="24"/>
                <w:szCs w:val="22"/>
                <w:lang w:eastAsia="en-US"/>
              </w:rPr>
              <w:t xml:space="preserve"> </w:t>
            </w:r>
            <w:r w:rsidRPr="000518C0">
              <w:rPr>
                <w:rFonts w:ascii="Arial" w:eastAsia="Calibri" w:hAnsi="Arial"/>
                <w:sz w:val="24"/>
                <w:szCs w:val="22"/>
                <w:lang w:eastAsia="en-US"/>
              </w:rPr>
              <w:t>Tak. Zamawiający potwierdza. Zgodnie z § 9 projektu umowy.</w:t>
            </w:r>
          </w:p>
          <w:p w:rsidR="00406F8B" w:rsidRDefault="00406F8B" w:rsidP="00E46EBE">
            <w:pPr>
              <w:spacing w:before="360" w:after="360" w:line="360" w:lineRule="auto"/>
              <w:contextualSpacing/>
              <w:rPr>
                <w:rFonts w:ascii="Arial" w:eastAsia="Calibri" w:hAnsi="Arial"/>
                <w:sz w:val="24"/>
                <w:szCs w:val="22"/>
                <w:lang w:eastAsia="en-US"/>
              </w:rPr>
            </w:pPr>
          </w:p>
          <w:p w:rsidR="00E469E3" w:rsidRDefault="00E469E3" w:rsidP="00E46EBE">
            <w:pPr>
              <w:spacing w:before="360" w:after="360" w:line="360" w:lineRule="auto"/>
              <w:contextualSpacing/>
              <w:rPr>
                <w:rFonts w:ascii="Arial" w:eastAsia="Calibri" w:hAnsi="Arial"/>
                <w:sz w:val="24"/>
                <w:szCs w:val="22"/>
                <w:lang w:eastAsia="en-US"/>
              </w:rPr>
            </w:pPr>
            <w:r w:rsidRPr="00E469E3">
              <w:rPr>
                <w:rFonts w:ascii="Arial" w:eastAsia="Calibri" w:hAnsi="Arial"/>
                <w:sz w:val="24"/>
                <w:szCs w:val="22"/>
                <w:lang w:eastAsia="en-US"/>
              </w:rPr>
              <w:t>13.</w:t>
            </w:r>
            <w:r w:rsidRPr="00E469E3">
              <w:rPr>
                <w:rFonts w:ascii="Arial" w:eastAsia="Calibri" w:hAnsi="Arial"/>
                <w:sz w:val="24"/>
                <w:szCs w:val="22"/>
                <w:lang w:eastAsia="en-US"/>
              </w:rPr>
              <w:tab/>
              <w:t>Czy lokalizacja agregatu w bezpośredniej bliskości budynku została uzgodniona pod względem pożarowym i Zamawiający dysponuje opinią specjalisty pożarowego/rzeczoznawcy o lokalizacji i warunkach instalacji agregatu w miejscu jego projektowania? Naszym zdaniem ustawienie agregatu tak blisko budynku biurowego może być kwestionowane przez rzeczoznawcę ds. pożarowych</w:t>
            </w:r>
          </w:p>
          <w:p w:rsidR="000518C0" w:rsidRPr="00E469E3" w:rsidRDefault="000518C0" w:rsidP="00E46EBE">
            <w:pPr>
              <w:spacing w:before="360" w:after="360" w:line="360" w:lineRule="auto"/>
              <w:contextualSpacing/>
              <w:rPr>
                <w:rFonts w:ascii="Arial" w:eastAsia="Calibri" w:hAnsi="Arial"/>
                <w:sz w:val="24"/>
                <w:szCs w:val="22"/>
                <w:lang w:eastAsia="en-US"/>
              </w:rPr>
            </w:pPr>
            <w:r w:rsidRPr="00BC760A">
              <w:rPr>
                <w:rFonts w:ascii="Arial" w:eastAsia="Calibri" w:hAnsi="Arial"/>
                <w:b/>
                <w:sz w:val="24"/>
                <w:szCs w:val="22"/>
                <w:lang w:eastAsia="en-US"/>
              </w:rPr>
              <w:t>Odp.</w:t>
            </w:r>
            <w:r>
              <w:rPr>
                <w:rFonts w:ascii="Arial" w:eastAsia="Calibri" w:hAnsi="Arial"/>
                <w:sz w:val="24"/>
                <w:szCs w:val="22"/>
                <w:lang w:eastAsia="en-US"/>
              </w:rPr>
              <w:t xml:space="preserve"> </w:t>
            </w:r>
            <w:r w:rsidRPr="000518C0">
              <w:rPr>
                <w:rFonts w:ascii="Arial" w:eastAsia="Calibri" w:hAnsi="Arial"/>
                <w:sz w:val="24"/>
                <w:szCs w:val="22"/>
                <w:lang w:eastAsia="en-US"/>
              </w:rPr>
              <w:t>Projekt został zaopiniowany bez uwag przez Rzeczoznawcę ds. zabezpieczeń przeciwpożarowych</w:t>
            </w:r>
            <w:r>
              <w:rPr>
                <w:rFonts w:ascii="Arial" w:eastAsia="Calibri" w:hAnsi="Arial"/>
                <w:sz w:val="24"/>
                <w:szCs w:val="22"/>
                <w:lang w:eastAsia="en-US"/>
              </w:rPr>
              <w:t>.</w:t>
            </w:r>
          </w:p>
          <w:p w:rsidR="00406F8B" w:rsidRDefault="00406F8B" w:rsidP="00E46EBE">
            <w:pPr>
              <w:spacing w:before="360" w:after="360" w:line="360" w:lineRule="auto"/>
              <w:contextualSpacing/>
              <w:rPr>
                <w:rFonts w:ascii="Arial" w:eastAsia="Calibri" w:hAnsi="Arial"/>
                <w:sz w:val="24"/>
                <w:szCs w:val="22"/>
                <w:lang w:eastAsia="en-US"/>
              </w:rPr>
            </w:pPr>
          </w:p>
          <w:p w:rsidR="00E469E3" w:rsidRDefault="00E469E3" w:rsidP="00E46EBE">
            <w:pPr>
              <w:spacing w:before="360" w:after="360" w:line="360" w:lineRule="auto"/>
              <w:contextualSpacing/>
              <w:rPr>
                <w:rFonts w:ascii="Arial" w:eastAsia="Calibri" w:hAnsi="Arial"/>
                <w:sz w:val="24"/>
                <w:szCs w:val="22"/>
                <w:lang w:eastAsia="en-US"/>
              </w:rPr>
            </w:pPr>
            <w:r w:rsidRPr="00E469E3">
              <w:rPr>
                <w:rFonts w:ascii="Arial" w:eastAsia="Calibri" w:hAnsi="Arial"/>
                <w:sz w:val="24"/>
                <w:szCs w:val="22"/>
                <w:lang w:eastAsia="en-US"/>
              </w:rPr>
              <w:t>14.</w:t>
            </w:r>
            <w:r w:rsidRPr="00E469E3">
              <w:rPr>
                <w:rFonts w:ascii="Arial" w:eastAsia="Calibri" w:hAnsi="Arial"/>
                <w:sz w:val="24"/>
                <w:szCs w:val="22"/>
                <w:lang w:eastAsia="en-US"/>
              </w:rPr>
              <w:tab/>
              <w:t>Czy Zamawiający ma oświadczenie projektanta z opinią, że zakres prowadzonych prac nie wymaga decyzji urzędowych?</w:t>
            </w:r>
          </w:p>
          <w:p w:rsidR="000518C0" w:rsidRPr="00E469E3" w:rsidRDefault="000518C0" w:rsidP="00E46EBE">
            <w:pPr>
              <w:spacing w:before="360" w:after="360" w:line="360" w:lineRule="auto"/>
              <w:contextualSpacing/>
              <w:rPr>
                <w:rFonts w:ascii="Arial" w:eastAsia="Calibri" w:hAnsi="Arial"/>
                <w:sz w:val="24"/>
                <w:szCs w:val="22"/>
                <w:lang w:eastAsia="en-US"/>
              </w:rPr>
            </w:pPr>
            <w:r w:rsidRPr="00BC760A">
              <w:rPr>
                <w:rFonts w:ascii="Arial" w:eastAsia="Calibri" w:hAnsi="Arial"/>
                <w:b/>
                <w:sz w:val="24"/>
                <w:szCs w:val="22"/>
                <w:lang w:eastAsia="en-US"/>
              </w:rPr>
              <w:t>Odp.</w:t>
            </w:r>
            <w:r>
              <w:rPr>
                <w:rFonts w:ascii="Arial" w:eastAsia="Calibri" w:hAnsi="Arial"/>
                <w:sz w:val="24"/>
                <w:szCs w:val="22"/>
                <w:lang w:eastAsia="en-US"/>
              </w:rPr>
              <w:t xml:space="preserve"> </w:t>
            </w:r>
            <w:r w:rsidRPr="000518C0">
              <w:rPr>
                <w:rFonts w:ascii="Arial" w:eastAsia="Calibri" w:hAnsi="Arial"/>
                <w:sz w:val="24"/>
                <w:szCs w:val="22"/>
                <w:lang w:eastAsia="en-US"/>
              </w:rPr>
              <w:t>Zgodnie z pkt. 13 opisu projektu wykonawczego</w:t>
            </w:r>
            <w:r>
              <w:rPr>
                <w:rFonts w:ascii="Arial" w:eastAsia="Calibri" w:hAnsi="Arial"/>
                <w:sz w:val="24"/>
                <w:szCs w:val="22"/>
                <w:lang w:eastAsia="en-US"/>
              </w:rPr>
              <w:t>.</w:t>
            </w:r>
          </w:p>
          <w:p w:rsidR="00406F8B" w:rsidRDefault="00406F8B" w:rsidP="00E46EBE">
            <w:pPr>
              <w:spacing w:before="360" w:after="360" w:line="360" w:lineRule="auto"/>
              <w:contextualSpacing/>
              <w:rPr>
                <w:rFonts w:ascii="Arial" w:eastAsia="Calibri" w:hAnsi="Arial"/>
                <w:sz w:val="24"/>
                <w:szCs w:val="22"/>
                <w:lang w:eastAsia="en-US"/>
              </w:rPr>
            </w:pPr>
          </w:p>
          <w:p w:rsidR="00E469E3" w:rsidRDefault="00E469E3" w:rsidP="00E46EBE">
            <w:pPr>
              <w:spacing w:before="360" w:after="360" w:line="360" w:lineRule="auto"/>
              <w:contextualSpacing/>
              <w:rPr>
                <w:rFonts w:ascii="Arial" w:eastAsia="Calibri" w:hAnsi="Arial"/>
                <w:sz w:val="24"/>
                <w:szCs w:val="22"/>
                <w:lang w:eastAsia="en-US"/>
              </w:rPr>
            </w:pPr>
            <w:r w:rsidRPr="00E469E3">
              <w:rPr>
                <w:rFonts w:ascii="Arial" w:eastAsia="Calibri" w:hAnsi="Arial"/>
                <w:sz w:val="24"/>
                <w:szCs w:val="22"/>
                <w:lang w:eastAsia="en-US"/>
              </w:rPr>
              <w:t>15.</w:t>
            </w:r>
            <w:r w:rsidRPr="00E469E3">
              <w:rPr>
                <w:rFonts w:ascii="Arial" w:eastAsia="Calibri" w:hAnsi="Arial"/>
                <w:sz w:val="24"/>
                <w:szCs w:val="22"/>
                <w:lang w:eastAsia="en-US"/>
              </w:rPr>
              <w:tab/>
              <w:t>Czy Zamawiający uzyskał zgodę na wycięcie drzewa i krzewów oraz likwidację zieleni pod przygotowanie utwardzenia terenu dla potrzeb agregatu i skraplaczy klimatyzacji lub dysponuje opinią/oświadczeniem projektanta, że takich uzgodnień się nie wymaga?</w:t>
            </w:r>
          </w:p>
          <w:p w:rsidR="000518C0" w:rsidRPr="00E469E3" w:rsidRDefault="000518C0" w:rsidP="00E46EBE">
            <w:pPr>
              <w:spacing w:before="360" w:after="360" w:line="360" w:lineRule="auto"/>
              <w:contextualSpacing/>
              <w:rPr>
                <w:rFonts w:ascii="Arial" w:eastAsia="Calibri" w:hAnsi="Arial"/>
                <w:sz w:val="24"/>
                <w:szCs w:val="22"/>
                <w:lang w:eastAsia="en-US"/>
              </w:rPr>
            </w:pPr>
            <w:r w:rsidRPr="00BC760A">
              <w:rPr>
                <w:rFonts w:ascii="Arial" w:eastAsia="Calibri" w:hAnsi="Arial"/>
                <w:b/>
                <w:sz w:val="24"/>
                <w:szCs w:val="22"/>
                <w:lang w:eastAsia="en-US"/>
              </w:rPr>
              <w:t>Odp.</w:t>
            </w:r>
            <w:r>
              <w:rPr>
                <w:rFonts w:ascii="Arial" w:eastAsia="Calibri" w:hAnsi="Arial"/>
                <w:sz w:val="24"/>
                <w:szCs w:val="22"/>
                <w:lang w:eastAsia="en-US"/>
              </w:rPr>
              <w:t xml:space="preserve"> </w:t>
            </w:r>
            <w:r w:rsidRPr="000518C0">
              <w:rPr>
                <w:rFonts w:ascii="Arial" w:eastAsia="Calibri" w:hAnsi="Arial"/>
                <w:sz w:val="24"/>
                <w:szCs w:val="22"/>
                <w:lang w:eastAsia="en-US"/>
              </w:rPr>
              <w:t>Zgodnie z pkt. 13 opisu projektu wykonawczego.</w:t>
            </w:r>
          </w:p>
          <w:p w:rsidR="00406F8B" w:rsidRDefault="00406F8B" w:rsidP="00E46EBE">
            <w:pPr>
              <w:spacing w:before="360" w:after="360" w:line="360" w:lineRule="auto"/>
              <w:contextualSpacing/>
              <w:rPr>
                <w:rFonts w:ascii="Arial" w:eastAsia="Calibri" w:hAnsi="Arial"/>
                <w:sz w:val="24"/>
                <w:szCs w:val="22"/>
                <w:lang w:eastAsia="en-US"/>
              </w:rPr>
            </w:pPr>
          </w:p>
          <w:p w:rsidR="00E469E3" w:rsidRDefault="00E469E3" w:rsidP="00E46EBE">
            <w:pPr>
              <w:spacing w:before="360" w:after="360" w:line="360" w:lineRule="auto"/>
              <w:contextualSpacing/>
              <w:rPr>
                <w:rFonts w:ascii="Arial" w:eastAsia="Calibri" w:hAnsi="Arial"/>
                <w:sz w:val="24"/>
                <w:szCs w:val="22"/>
                <w:lang w:eastAsia="en-US"/>
              </w:rPr>
            </w:pPr>
            <w:r w:rsidRPr="00E469E3">
              <w:rPr>
                <w:rFonts w:ascii="Arial" w:eastAsia="Calibri" w:hAnsi="Arial"/>
                <w:sz w:val="24"/>
                <w:szCs w:val="22"/>
                <w:lang w:eastAsia="en-US"/>
              </w:rPr>
              <w:t>16.</w:t>
            </w:r>
            <w:r w:rsidRPr="00E469E3">
              <w:rPr>
                <w:rFonts w:ascii="Arial" w:eastAsia="Calibri" w:hAnsi="Arial"/>
                <w:sz w:val="24"/>
                <w:szCs w:val="22"/>
                <w:lang w:eastAsia="en-US"/>
              </w:rPr>
              <w:tab/>
              <w:t>Proszę o potwierdzenie, że Zamawiający nie przewiduje w tym postepowaniu wykonania ogrodzenia dla przestrzeni w której będą zlokalizowane skraplacze klimatyzacji precyzyjnej i agregat prądotwórczy?</w:t>
            </w:r>
          </w:p>
          <w:p w:rsidR="000518C0" w:rsidRPr="00E469E3" w:rsidRDefault="000518C0" w:rsidP="00E46EBE">
            <w:pPr>
              <w:spacing w:before="360" w:after="360" w:line="360" w:lineRule="auto"/>
              <w:contextualSpacing/>
              <w:rPr>
                <w:rFonts w:ascii="Arial" w:eastAsia="Calibri" w:hAnsi="Arial"/>
                <w:sz w:val="24"/>
                <w:szCs w:val="22"/>
                <w:lang w:eastAsia="en-US"/>
              </w:rPr>
            </w:pPr>
            <w:r w:rsidRPr="00BC760A">
              <w:rPr>
                <w:rFonts w:ascii="Arial" w:eastAsia="Calibri" w:hAnsi="Arial"/>
                <w:b/>
                <w:sz w:val="24"/>
                <w:szCs w:val="22"/>
                <w:lang w:eastAsia="en-US"/>
              </w:rPr>
              <w:t>Odp.</w:t>
            </w:r>
            <w:r>
              <w:rPr>
                <w:rFonts w:ascii="Arial" w:eastAsia="Calibri" w:hAnsi="Arial"/>
                <w:sz w:val="24"/>
                <w:szCs w:val="22"/>
                <w:lang w:eastAsia="en-US"/>
              </w:rPr>
              <w:t xml:space="preserve"> </w:t>
            </w:r>
            <w:r w:rsidRPr="000518C0">
              <w:rPr>
                <w:rFonts w:ascii="Arial" w:eastAsia="Calibri" w:hAnsi="Arial"/>
                <w:sz w:val="24"/>
                <w:szCs w:val="22"/>
                <w:lang w:eastAsia="en-US"/>
              </w:rPr>
              <w:t>Zamawiający potwierdza</w:t>
            </w:r>
          </w:p>
          <w:p w:rsidR="00406F8B" w:rsidRDefault="00406F8B" w:rsidP="00E46EBE">
            <w:pPr>
              <w:spacing w:before="360" w:after="360" w:line="360" w:lineRule="auto"/>
              <w:contextualSpacing/>
              <w:rPr>
                <w:rFonts w:ascii="Arial" w:eastAsia="Calibri" w:hAnsi="Arial"/>
                <w:sz w:val="24"/>
                <w:szCs w:val="22"/>
                <w:lang w:eastAsia="en-US"/>
              </w:rPr>
            </w:pPr>
          </w:p>
          <w:p w:rsidR="00E469E3" w:rsidRDefault="00E469E3" w:rsidP="00E46EBE">
            <w:pPr>
              <w:spacing w:before="360" w:after="360" w:line="360" w:lineRule="auto"/>
              <w:contextualSpacing/>
              <w:rPr>
                <w:rFonts w:ascii="Arial" w:eastAsia="Calibri" w:hAnsi="Arial"/>
                <w:sz w:val="24"/>
                <w:szCs w:val="22"/>
                <w:lang w:eastAsia="en-US"/>
              </w:rPr>
            </w:pPr>
            <w:r w:rsidRPr="00E469E3">
              <w:rPr>
                <w:rFonts w:ascii="Arial" w:eastAsia="Calibri" w:hAnsi="Arial"/>
                <w:sz w:val="24"/>
                <w:szCs w:val="22"/>
                <w:lang w:eastAsia="en-US"/>
              </w:rPr>
              <w:t>17.</w:t>
            </w:r>
            <w:r w:rsidRPr="00E469E3">
              <w:rPr>
                <w:rFonts w:ascii="Arial" w:eastAsia="Calibri" w:hAnsi="Arial"/>
                <w:sz w:val="24"/>
                <w:szCs w:val="22"/>
                <w:lang w:eastAsia="en-US"/>
              </w:rPr>
              <w:tab/>
              <w:t xml:space="preserve">Zgodnie z opisem branży architektonicznej adaptacja wymaga obudowy pomieszczeń okładzinami z płyt </w:t>
            </w:r>
            <w:proofErr w:type="spellStart"/>
            <w:r w:rsidRPr="00E469E3">
              <w:rPr>
                <w:rFonts w:ascii="Arial" w:eastAsia="Calibri" w:hAnsi="Arial"/>
                <w:sz w:val="24"/>
                <w:szCs w:val="22"/>
                <w:lang w:eastAsia="en-US"/>
              </w:rPr>
              <w:t>gk</w:t>
            </w:r>
            <w:proofErr w:type="spellEnd"/>
            <w:r w:rsidRPr="00E469E3">
              <w:rPr>
                <w:rFonts w:ascii="Arial" w:eastAsia="Calibri" w:hAnsi="Arial"/>
                <w:sz w:val="24"/>
                <w:szCs w:val="22"/>
                <w:lang w:eastAsia="en-US"/>
              </w:rPr>
              <w:t xml:space="preserve"> w odpowiedniej klasie odporności ogniowej,</w:t>
            </w:r>
            <w:r w:rsidR="00E46EBE">
              <w:rPr>
                <w:rFonts w:ascii="Arial" w:eastAsia="Calibri" w:hAnsi="Arial"/>
                <w:sz w:val="24"/>
                <w:szCs w:val="22"/>
                <w:lang w:eastAsia="en-US"/>
              </w:rPr>
              <w:t xml:space="preserve"> </w:t>
            </w:r>
            <w:r w:rsidRPr="00E469E3">
              <w:rPr>
                <w:rFonts w:ascii="Arial" w:eastAsia="Calibri" w:hAnsi="Arial"/>
                <w:sz w:val="24"/>
                <w:szCs w:val="22"/>
                <w:lang w:eastAsia="en-US"/>
              </w:rPr>
              <w:t xml:space="preserve">Jaką odporność ogniową (EI) należy zapewnić? Jak jest odporność obecnych ścian? Które ściany w związku z tym wymagają obudowy z płyt </w:t>
            </w:r>
            <w:proofErr w:type="spellStart"/>
            <w:r w:rsidRPr="00E469E3">
              <w:rPr>
                <w:rFonts w:ascii="Arial" w:eastAsia="Calibri" w:hAnsi="Arial"/>
                <w:sz w:val="24"/>
                <w:szCs w:val="22"/>
                <w:lang w:eastAsia="en-US"/>
              </w:rPr>
              <w:t>gk</w:t>
            </w:r>
            <w:proofErr w:type="spellEnd"/>
            <w:r w:rsidRPr="00E469E3">
              <w:rPr>
                <w:rFonts w:ascii="Arial" w:eastAsia="Calibri" w:hAnsi="Arial"/>
                <w:sz w:val="24"/>
                <w:szCs w:val="22"/>
                <w:lang w:eastAsia="en-US"/>
              </w:rPr>
              <w:t>?</w:t>
            </w:r>
          </w:p>
          <w:p w:rsidR="00E46EBE" w:rsidRPr="00E469E3" w:rsidRDefault="00E46EBE" w:rsidP="00E46EBE">
            <w:pPr>
              <w:spacing w:before="360" w:after="360" w:line="360" w:lineRule="auto"/>
              <w:contextualSpacing/>
              <w:rPr>
                <w:rFonts w:ascii="Arial" w:eastAsia="Calibri" w:hAnsi="Arial"/>
                <w:sz w:val="24"/>
                <w:szCs w:val="22"/>
                <w:lang w:eastAsia="en-US"/>
              </w:rPr>
            </w:pPr>
            <w:r w:rsidRPr="00BC760A">
              <w:rPr>
                <w:rFonts w:ascii="Arial" w:eastAsia="Calibri" w:hAnsi="Arial"/>
                <w:b/>
                <w:sz w:val="24"/>
                <w:szCs w:val="22"/>
                <w:lang w:eastAsia="en-US"/>
              </w:rPr>
              <w:t>Odp</w:t>
            </w:r>
            <w:r>
              <w:rPr>
                <w:rFonts w:ascii="Arial" w:eastAsia="Calibri" w:hAnsi="Arial"/>
                <w:sz w:val="24"/>
                <w:szCs w:val="22"/>
                <w:lang w:eastAsia="en-US"/>
              </w:rPr>
              <w:t xml:space="preserve">. </w:t>
            </w:r>
            <w:r w:rsidRPr="00E46EBE">
              <w:rPr>
                <w:rFonts w:ascii="Arial" w:eastAsia="Calibri" w:hAnsi="Arial"/>
                <w:sz w:val="24"/>
                <w:szCs w:val="22"/>
                <w:lang w:eastAsia="en-US"/>
              </w:rPr>
              <w:t>Zamawiający nie dysponuje wiedzą na temat odporności ogniowej obecnych ścian. Odporność ogniowa wynika z rysunku PW_A01 (branża: architektura)</w:t>
            </w:r>
          </w:p>
          <w:p w:rsidR="00406F8B" w:rsidRDefault="00406F8B" w:rsidP="00E46EBE">
            <w:pPr>
              <w:spacing w:before="360" w:after="360" w:line="360" w:lineRule="auto"/>
              <w:contextualSpacing/>
              <w:rPr>
                <w:rFonts w:ascii="Arial" w:eastAsia="Calibri" w:hAnsi="Arial"/>
                <w:sz w:val="24"/>
                <w:szCs w:val="22"/>
                <w:lang w:eastAsia="en-US"/>
              </w:rPr>
            </w:pPr>
          </w:p>
          <w:p w:rsidR="00E469E3" w:rsidRDefault="00E469E3" w:rsidP="00E46EBE">
            <w:pPr>
              <w:spacing w:before="360" w:after="360" w:line="360" w:lineRule="auto"/>
              <w:contextualSpacing/>
              <w:rPr>
                <w:rFonts w:ascii="Arial" w:eastAsia="Calibri" w:hAnsi="Arial"/>
                <w:sz w:val="24"/>
                <w:szCs w:val="22"/>
                <w:lang w:eastAsia="en-US"/>
              </w:rPr>
            </w:pPr>
            <w:r w:rsidRPr="00E469E3">
              <w:rPr>
                <w:rFonts w:ascii="Arial" w:eastAsia="Calibri" w:hAnsi="Arial"/>
                <w:sz w:val="24"/>
                <w:szCs w:val="22"/>
                <w:lang w:eastAsia="en-US"/>
              </w:rPr>
              <w:t>18.</w:t>
            </w:r>
            <w:r w:rsidRPr="00E469E3">
              <w:rPr>
                <w:rFonts w:ascii="Arial" w:eastAsia="Calibri" w:hAnsi="Arial"/>
                <w:sz w:val="24"/>
                <w:szCs w:val="22"/>
                <w:lang w:eastAsia="en-US"/>
              </w:rPr>
              <w:tab/>
              <w:t xml:space="preserve">Zamawiający wymaga adaptacji i obudowy pomieszczeń okładzinami z płyt </w:t>
            </w:r>
            <w:proofErr w:type="spellStart"/>
            <w:r w:rsidRPr="00E469E3">
              <w:rPr>
                <w:rFonts w:ascii="Arial" w:eastAsia="Calibri" w:hAnsi="Arial"/>
                <w:sz w:val="24"/>
                <w:szCs w:val="22"/>
                <w:lang w:eastAsia="en-US"/>
              </w:rPr>
              <w:t>gk</w:t>
            </w:r>
            <w:proofErr w:type="spellEnd"/>
            <w:r w:rsidRPr="00E469E3">
              <w:rPr>
                <w:rFonts w:ascii="Arial" w:eastAsia="Calibri" w:hAnsi="Arial"/>
                <w:sz w:val="24"/>
                <w:szCs w:val="22"/>
                <w:lang w:eastAsia="en-US"/>
              </w:rPr>
              <w:t xml:space="preserve"> w odpowiedniej klasie odporności ogniowej. Jednocześnie w ramach projektu przewiduje się montaż na istniejących oknach w pomieszczeniu serwerowni folii po obu stronach szyby. Czy w związku z tym okna pozostaną nie zamurowane lub nie zabudowane płytami </w:t>
            </w:r>
            <w:proofErr w:type="spellStart"/>
            <w:r w:rsidRPr="00E469E3">
              <w:rPr>
                <w:rFonts w:ascii="Arial" w:eastAsia="Calibri" w:hAnsi="Arial"/>
                <w:sz w:val="24"/>
                <w:szCs w:val="22"/>
                <w:lang w:eastAsia="en-US"/>
              </w:rPr>
              <w:t>gk</w:t>
            </w:r>
            <w:proofErr w:type="spellEnd"/>
            <w:r w:rsidRPr="00E469E3">
              <w:rPr>
                <w:rFonts w:ascii="Arial" w:eastAsia="Calibri" w:hAnsi="Arial"/>
                <w:sz w:val="24"/>
                <w:szCs w:val="22"/>
                <w:lang w:eastAsia="en-US"/>
              </w:rPr>
              <w:t>? W takie sytuacji ściana jako całość nie będzie spełniać klasy pożarowej.</w:t>
            </w:r>
          </w:p>
          <w:p w:rsidR="00E46EBE" w:rsidRPr="00E469E3" w:rsidRDefault="00E46EBE" w:rsidP="00E46EBE">
            <w:pPr>
              <w:spacing w:before="360" w:after="360" w:line="360" w:lineRule="auto"/>
              <w:contextualSpacing/>
              <w:rPr>
                <w:rFonts w:ascii="Arial" w:eastAsia="Calibri" w:hAnsi="Arial"/>
                <w:sz w:val="24"/>
                <w:szCs w:val="22"/>
                <w:lang w:eastAsia="en-US"/>
              </w:rPr>
            </w:pPr>
            <w:r w:rsidRPr="00BC760A">
              <w:rPr>
                <w:rFonts w:ascii="Arial" w:eastAsia="Calibri" w:hAnsi="Arial"/>
                <w:b/>
                <w:sz w:val="24"/>
                <w:szCs w:val="22"/>
                <w:lang w:eastAsia="en-US"/>
              </w:rPr>
              <w:t>Odp.</w:t>
            </w:r>
            <w:r w:rsidRPr="00E46EBE">
              <w:rPr>
                <w:rFonts w:ascii="Arial" w:eastAsia="Calibri" w:hAnsi="Arial"/>
                <w:sz w:val="24"/>
                <w:szCs w:val="22"/>
                <w:lang w:eastAsia="en-US"/>
              </w:rPr>
              <w:t xml:space="preserve"> </w:t>
            </w:r>
            <w:r w:rsidRPr="00E46EBE">
              <w:rPr>
                <w:rFonts w:ascii="Arial" w:eastAsia="Calibri" w:hAnsi="Arial"/>
                <w:iCs/>
                <w:sz w:val="24"/>
                <w:szCs w:val="22"/>
                <w:lang w:eastAsia="en-US"/>
              </w:rPr>
              <w:t xml:space="preserve">Tak, zgodnie z projektem okna pozostają nie zamurowane i nie zabudowane płytkami </w:t>
            </w:r>
            <w:proofErr w:type="spellStart"/>
            <w:r w:rsidRPr="00E46EBE">
              <w:rPr>
                <w:rFonts w:ascii="Arial" w:eastAsia="Calibri" w:hAnsi="Arial"/>
                <w:iCs/>
                <w:sz w:val="24"/>
                <w:szCs w:val="22"/>
                <w:lang w:eastAsia="en-US"/>
              </w:rPr>
              <w:t>gk</w:t>
            </w:r>
            <w:proofErr w:type="spellEnd"/>
            <w:r w:rsidRPr="00E46EBE">
              <w:rPr>
                <w:rFonts w:ascii="Arial" w:eastAsia="Calibri" w:hAnsi="Arial"/>
                <w:iCs/>
                <w:sz w:val="24"/>
                <w:szCs w:val="22"/>
                <w:lang w:eastAsia="en-US"/>
              </w:rPr>
              <w:t xml:space="preserve"> Istniejąca pełna ściana zewnętrzna stanowi zabezpieczenie na granicy stref pożarowych tj. występuje pas o szerokości minimum 2 m (pełna ściana), wykonany z materiałów niepalnych + pas między kondygnacyjny o wysokości 1,2 m (pełna ściana). Z uwagi na to okna w ścianie zewnętrznej zastosowano bezklasowe. Zgodnie z projektem przewiduje się montaż na istniejących oknach w pomieszczeniu serwerowni folii ochronnej. Od strony wewnętrznej należy zastosować folię klasy P2A ( najwyższa klasa bezpieczeństwa folii, atest ITB). Od strony zewnętrznej należy zastosować folię przeciwsłoneczną w celu odbicia energii słonecznej od strony zewnętrznej.</w:t>
            </w:r>
          </w:p>
          <w:p w:rsidR="00406F8B" w:rsidRDefault="00406F8B" w:rsidP="00E46EBE">
            <w:pPr>
              <w:spacing w:before="360" w:after="360" w:line="360" w:lineRule="auto"/>
              <w:contextualSpacing/>
              <w:rPr>
                <w:rFonts w:ascii="Arial" w:eastAsia="Calibri" w:hAnsi="Arial"/>
                <w:sz w:val="24"/>
                <w:szCs w:val="22"/>
                <w:lang w:eastAsia="en-US"/>
              </w:rPr>
            </w:pPr>
          </w:p>
          <w:p w:rsidR="00E469E3" w:rsidRDefault="00E469E3" w:rsidP="00E46EBE">
            <w:pPr>
              <w:spacing w:before="360" w:after="360" w:line="360" w:lineRule="auto"/>
              <w:contextualSpacing/>
              <w:rPr>
                <w:rFonts w:ascii="Arial" w:eastAsia="Calibri" w:hAnsi="Arial"/>
                <w:sz w:val="24"/>
                <w:szCs w:val="22"/>
                <w:lang w:eastAsia="en-US"/>
              </w:rPr>
            </w:pPr>
            <w:r w:rsidRPr="00E469E3">
              <w:rPr>
                <w:rFonts w:ascii="Arial" w:eastAsia="Calibri" w:hAnsi="Arial"/>
                <w:sz w:val="24"/>
                <w:szCs w:val="22"/>
                <w:lang w:eastAsia="en-US"/>
              </w:rPr>
              <w:t>19.</w:t>
            </w:r>
            <w:r w:rsidRPr="00E469E3">
              <w:rPr>
                <w:rFonts w:ascii="Arial" w:eastAsia="Calibri" w:hAnsi="Arial"/>
                <w:sz w:val="24"/>
                <w:szCs w:val="22"/>
                <w:lang w:eastAsia="en-US"/>
              </w:rPr>
              <w:tab/>
              <w:t>Czy Zamawiający uwzględnił konieczność instalacji klapy upustowej dla systemu SUG. Czy dopuszczalne będzie zainstalowanie jej w ścianie zewnętrznej serwerowni?</w:t>
            </w:r>
          </w:p>
          <w:p w:rsidR="00E46EBE" w:rsidRPr="00E46EBE" w:rsidRDefault="00E46EBE" w:rsidP="00E46EBE">
            <w:pPr>
              <w:spacing w:before="360" w:after="360" w:line="360" w:lineRule="auto"/>
              <w:contextualSpacing/>
              <w:rPr>
                <w:rFonts w:ascii="Arial" w:eastAsia="Calibri" w:hAnsi="Arial"/>
                <w:sz w:val="24"/>
                <w:szCs w:val="22"/>
                <w:lang w:eastAsia="en-US"/>
              </w:rPr>
            </w:pPr>
            <w:r w:rsidRPr="00BC760A">
              <w:rPr>
                <w:rFonts w:ascii="Arial" w:eastAsia="Calibri" w:hAnsi="Arial"/>
                <w:b/>
                <w:sz w:val="24"/>
                <w:szCs w:val="22"/>
                <w:lang w:eastAsia="en-US"/>
              </w:rPr>
              <w:t>Odp.</w:t>
            </w:r>
            <w:r>
              <w:rPr>
                <w:rFonts w:ascii="Arial" w:eastAsia="Calibri" w:hAnsi="Arial"/>
                <w:sz w:val="24"/>
                <w:szCs w:val="22"/>
                <w:lang w:eastAsia="en-US"/>
              </w:rPr>
              <w:t xml:space="preserve"> </w:t>
            </w:r>
            <w:r w:rsidRPr="00E46EBE">
              <w:rPr>
                <w:rFonts w:ascii="Arial" w:eastAsia="Calibri" w:hAnsi="Arial"/>
                <w:sz w:val="24"/>
                <w:szCs w:val="22"/>
                <w:lang w:eastAsia="en-US"/>
              </w:rPr>
              <w:t>Zgodnie z projektem wykonawczym branży instalacje elektryczne niskoprądowe – pkt. 13.4 oraz rysunkiem TTR-103</w:t>
            </w:r>
          </w:p>
          <w:p w:rsidR="00406F8B" w:rsidRDefault="00406F8B" w:rsidP="00E46EBE">
            <w:pPr>
              <w:spacing w:before="360" w:after="360" w:line="360" w:lineRule="auto"/>
              <w:contextualSpacing/>
              <w:rPr>
                <w:rFonts w:ascii="Arial" w:eastAsia="Calibri" w:hAnsi="Arial"/>
                <w:sz w:val="24"/>
                <w:szCs w:val="22"/>
                <w:lang w:eastAsia="en-US"/>
              </w:rPr>
            </w:pPr>
          </w:p>
          <w:p w:rsidR="00E469E3" w:rsidRDefault="00E469E3" w:rsidP="00E46EBE">
            <w:pPr>
              <w:spacing w:before="360" w:after="360" w:line="360" w:lineRule="auto"/>
              <w:contextualSpacing/>
              <w:rPr>
                <w:rFonts w:ascii="Arial" w:eastAsia="Calibri" w:hAnsi="Arial"/>
                <w:sz w:val="24"/>
                <w:szCs w:val="22"/>
                <w:lang w:eastAsia="en-US"/>
              </w:rPr>
            </w:pPr>
            <w:r w:rsidRPr="00E469E3">
              <w:rPr>
                <w:rFonts w:ascii="Arial" w:eastAsia="Calibri" w:hAnsi="Arial"/>
                <w:sz w:val="24"/>
                <w:szCs w:val="22"/>
                <w:lang w:eastAsia="en-US"/>
              </w:rPr>
              <w:t xml:space="preserve">20.Na rysunku TTS-100 Schemat sieci LAN, uwzględniono panele krosowe 1U 24xRJ45 kat.7 w wersji modularnej. Chcielibyśmy zaznaczyć, że w obecnym stanie normatywnym złącze RJ45 występuje jako złącze kat. 5e, 6, 6A i 8.1. Dla kat.7 przewidziano złącza ARJ45, GG45 lub TERA. Czy Zamawiający dopuszcza zastosowanie paneli modularnych ze złączem RJ45 kat.6A? Jeżeli nie to prosimy o doprecyzowanie jakiego złącza kat.7 Zamawiający wymaga. </w:t>
            </w:r>
          </w:p>
          <w:p w:rsidR="00E46EBE" w:rsidRPr="00E469E3" w:rsidRDefault="00E46EBE" w:rsidP="00E46EBE">
            <w:pPr>
              <w:spacing w:before="360" w:after="360" w:line="360" w:lineRule="auto"/>
              <w:contextualSpacing/>
              <w:rPr>
                <w:rFonts w:ascii="Arial" w:eastAsia="Calibri" w:hAnsi="Arial"/>
                <w:sz w:val="24"/>
                <w:szCs w:val="22"/>
                <w:lang w:eastAsia="en-US"/>
              </w:rPr>
            </w:pPr>
            <w:r w:rsidRPr="00BC760A">
              <w:rPr>
                <w:rFonts w:ascii="Arial" w:eastAsia="Calibri" w:hAnsi="Arial"/>
                <w:b/>
                <w:sz w:val="24"/>
                <w:szCs w:val="22"/>
                <w:lang w:eastAsia="en-US"/>
              </w:rPr>
              <w:t>Odp.</w:t>
            </w:r>
            <w:r>
              <w:rPr>
                <w:rFonts w:ascii="Arial" w:eastAsia="Calibri" w:hAnsi="Arial"/>
                <w:sz w:val="24"/>
                <w:szCs w:val="22"/>
                <w:lang w:eastAsia="en-US"/>
              </w:rPr>
              <w:t xml:space="preserve"> </w:t>
            </w:r>
            <w:r w:rsidRPr="00E46EBE">
              <w:rPr>
                <w:rFonts w:ascii="Arial" w:eastAsia="Calibri" w:hAnsi="Arial"/>
                <w:sz w:val="24"/>
                <w:szCs w:val="22"/>
                <w:lang w:eastAsia="en-US"/>
              </w:rPr>
              <w:t xml:space="preserve">Zaprojektowany system ma być oparty na 2GHz złączu na stałe </w:t>
            </w:r>
            <w:proofErr w:type="spellStart"/>
            <w:r w:rsidRPr="00E46EBE">
              <w:rPr>
                <w:rFonts w:ascii="Arial" w:eastAsia="Calibri" w:hAnsi="Arial"/>
                <w:sz w:val="24"/>
                <w:szCs w:val="22"/>
                <w:lang w:eastAsia="en-US"/>
              </w:rPr>
              <w:t>zaterminowanym</w:t>
            </w:r>
            <w:proofErr w:type="spellEnd"/>
            <w:r w:rsidRPr="00E46EBE">
              <w:rPr>
                <w:rFonts w:ascii="Arial" w:eastAsia="Calibri" w:hAnsi="Arial"/>
                <w:sz w:val="24"/>
                <w:szCs w:val="22"/>
                <w:lang w:eastAsia="en-US"/>
              </w:rPr>
              <w:t xml:space="preserve"> na kablu. System ma zapewniać możliwość zmiany interfejsu końcowego w zależności od potrzeb pomiędzy kat6A a kat 7A opartym o złącze TERA. Na etapie projektowym złącza należy wyposażyć w interfejs RJ45 kat6A.</w:t>
            </w:r>
          </w:p>
          <w:p w:rsidR="00406F8B" w:rsidRDefault="00406F8B" w:rsidP="00E46EBE">
            <w:pPr>
              <w:spacing w:before="360" w:after="360" w:line="360" w:lineRule="auto"/>
              <w:contextualSpacing/>
              <w:rPr>
                <w:rFonts w:ascii="Arial" w:eastAsia="Calibri" w:hAnsi="Arial"/>
                <w:sz w:val="24"/>
                <w:szCs w:val="22"/>
                <w:lang w:eastAsia="en-US"/>
              </w:rPr>
            </w:pPr>
          </w:p>
          <w:p w:rsidR="00E469E3" w:rsidRDefault="00E469E3" w:rsidP="00E46EBE">
            <w:pPr>
              <w:spacing w:before="360" w:after="360" w:line="360" w:lineRule="auto"/>
              <w:contextualSpacing/>
              <w:rPr>
                <w:rFonts w:ascii="Arial" w:eastAsia="Calibri" w:hAnsi="Arial"/>
                <w:sz w:val="24"/>
                <w:szCs w:val="22"/>
                <w:lang w:eastAsia="en-US"/>
              </w:rPr>
            </w:pPr>
            <w:r w:rsidRPr="00E469E3">
              <w:rPr>
                <w:rFonts w:ascii="Arial" w:eastAsia="Calibri" w:hAnsi="Arial"/>
                <w:sz w:val="24"/>
                <w:szCs w:val="22"/>
                <w:lang w:eastAsia="en-US"/>
              </w:rPr>
              <w:t xml:space="preserve">21. W projekcie wykonawczym instalacji teletechnicznych w punkcie 6.6 Wymagania Szczegółowe Zamawiający wymaga by okablowanie przyłącza światłowodowy i miedziane oparto o kasetowy system kablowy, które zapewniają integrację medium światłowodowego i miedzianego oraz umożliwiają zabudowę 8 kaset o wysokości 0,5U w ułożeniu poziomym w panelu 1U. Na rysunku TTS-100 Schemat sieci LAN w każdej z szaf uwzględniono panele 24xRJ45 kat. 7 w wersji modularnej oraz panele światłowodowe przystosowane do spawania bez podziału na kasety. Prosimy od doprecyzowanie, jakie rodzaje paneli należy zastosować? </w:t>
            </w:r>
          </w:p>
          <w:p w:rsidR="00E46EBE" w:rsidRPr="00E469E3" w:rsidRDefault="00E46EBE" w:rsidP="00E46EBE">
            <w:pPr>
              <w:spacing w:before="360" w:after="360" w:line="360" w:lineRule="auto"/>
              <w:contextualSpacing/>
              <w:rPr>
                <w:rFonts w:ascii="Arial" w:eastAsia="Calibri" w:hAnsi="Arial"/>
                <w:sz w:val="24"/>
                <w:szCs w:val="22"/>
                <w:lang w:eastAsia="en-US"/>
              </w:rPr>
            </w:pPr>
            <w:r w:rsidRPr="00BC760A">
              <w:rPr>
                <w:rFonts w:ascii="Arial" w:eastAsia="Calibri" w:hAnsi="Arial"/>
                <w:b/>
                <w:sz w:val="24"/>
                <w:szCs w:val="22"/>
                <w:lang w:eastAsia="en-US"/>
              </w:rPr>
              <w:t>Odp.</w:t>
            </w:r>
            <w:r>
              <w:rPr>
                <w:rFonts w:ascii="Arial" w:eastAsia="Calibri" w:hAnsi="Arial"/>
                <w:sz w:val="24"/>
                <w:szCs w:val="22"/>
                <w:lang w:eastAsia="en-US"/>
              </w:rPr>
              <w:t xml:space="preserve"> </w:t>
            </w:r>
            <w:r w:rsidRPr="00E46EBE">
              <w:rPr>
                <w:rFonts w:ascii="Arial" w:eastAsia="Calibri" w:hAnsi="Arial"/>
                <w:sz w:val="24"/>
                <w:szCs w:val="22"/>
                <w:lang w:eastAsia="en-US"/>
              </w:rPr>
              <w:t>Należy zastosować system z możliwością instalacji medium miedzianego i światłowodowego na jednym panelu. Należy zastosować panele w wersji modularnej z możliwością montażu do 8 modułów.</w:t>
            </w:r>
          </w:p>
          <w:p w:rsidR="00406F8B" w:rsidRDefault="00406F8B" w:rsidP="00E46EBE">
            <w:pPr>
              <w:spacing w:before="360" w:after="360" w:line="360" w:lineRule="auto"/>
              <w:contextualSpacing/>
              <w:rPr>
                <w:rFonts w:ascii="Arial" w:eastAsia="Calibri" w:hAnsi="Arial"/>
                <w:sz w:val="24"/>
                <w:szCs w:val="22"/>
                <w:lang w:eastAsia="en-US"/>
              </w:rPr>
            </w:pPr>
          </w:p>
          <w:p w:rsidR="00E469E3" w:rsidRDefault="00E469E3" w:rsidP="00E46EBE">
            <w:pPr>
              <w:spacing w:before="360" w:after="360" w:line="360" w:lineRule="auto"/>
              <w:contextualSpacing/>
              <w:rPr>
                <w:rFonts w:ascii="Arial" w:eastAsia="Calibri" w:hAnsi="Arial"/>
                <w:sz w:val="24"/>
                <w:szCs w:val="22"/>
                <w:lang w:eastAsia="en-US"/>
              </w:rPr>
            </w:pPr>
            <w:r w:rsidRPr="00E469E3">
              <w:rPr>
                <w:rFonts w:ascii="Arial" w:eastAsia="Calibri" w:hAnsi="Arial"/>
                <w:sz w:val="24"/>
                <w:szCs w:val="22"/>
                <w:lang w:eastAsia="en-US"/>
              </w:rPr>
              <w:t xml:space="preserve">22. W projekcie wykonawczym instalacji teletechnicznych w punkcie 6.8 Panele krosowe okablowania poziomego Zamawiający wymaga by kable miedziane zakończyć na panelu 1U wyposażonym w min. 8 kaset 6 portowych o wysokości montażowej 0,5U każda lub inny zestaw zapewniający 48 portów, kasety należy wyposażyć w moduły RJ45 kat.6A. Na rysunku TTS-100 Schemat sieci LAN w każdej z szaf uwzględniono panele 24xRJ45 kat. 7 w wersji modularnej. Prosimy od doprecyzowanie, jakie panele należy zastosować? </w:t>
            </w:r>
          </w:p>
          <w:p w:rsidR="00E46EBE" w:rsidRPr="00E469E3" w:rsidRDefault="00E46EBE" w:rsidP="00E46EBE">
            <w:pPr>
              <w:spacing w:before="360" w:after="360" w:line="360" w:lineRule="auto"/>
              <w:contextualSpacing/>
              <w:rPr>
                <w:rFonts w:ascii="Arial" w:eastAsia="Calibri" w:hAnsi="Arial"/>
                <w:sz w:val="24"/>
                <w:szCs w:val="22"/>
                <w:lang w:eastAsia="en-US"/>
              </w:rPr>
            </w:pPr>
            <w:r w:rsidRPr="00BC760A">
              <w:rPr>
                <w:rFonts w:ascii="Arial" w:eastAsia="Calibri" w:hAnsi="Arial"/>
                <w:b/>
                <w:sz w:val="24"/>
                <w:szCs w:val="22"/>
                <w:lang w:eastAsia="en-US"/>
              </w:rPr>
              <w:t>Odp.</w:t>
            </w:r>
            <w:r>
              <w:rPr>
                <w:rFonts w:ascii="Arial" w:eastAsia="Calibri" w:hAnsi="Arial"/>
                <w:sz w:val="24"/>
                <w:szCs w:val="22"/>
                <w:lang w:eastAsia="en-US"/>
              </w:rPr>
              <w:t xml:space="preserve"> </w:t>
            </w:r>
            <w:r w:rsidRPr="00E46EBE">
              <w:rPr>
                <w:rFonts w:ascii="Arial" w:eastAsia="Calibri" w:hAnsi="Arial"/>
                <w:sz w:val="24"/>
                <w:szCs w:val="22"/>
                <w:lang w:eastAsia="en-US"/>
              </w:rPr>
              <w:t xml:space="preserve">Należy zastosować system z możliwością instalacji medium miedzianego i światłowodowego na jednym panelu. Należy zastosować panele w wersji modularnej z możliwością montażu do 8 modułów, pozwalające w maksymalnym upakowania na zakończenie 48 kabli miedzianych. Na etapie realizacji panele należy wyposażyć w moduły, na których istnieje możliwość zakończenia systemu ze złączami 2Ghz pozwalającymi na zmianę interfejsu końcowego. W tej wersji systemu panele należy doposażyć w maksymalnie 4 moduły z możliwością </w:t>
            </w:r>
            <w:proofErr w:type="spellStart"/>
            <w:r w:rsidRPr="00E46EBE">
              <w:rPr>
                <w:rFonts w:ascii="Arial" w:eastAsia="Calibri" w:hAnsi="Arial"/>
                <w:sz w:val="24"/>
                <w:szCs w:val="22"/>
                <w:lang w:eastAsia="en-US"/>
              </w:rPr>
              <w:t>terminacji</w:t>
            </w:r>
            <w:proofErr w:type="spellEnd"/>
            <w:r w:rsidRPr="00E46EBE">
              <w:rPr>
                <w:rFonts w:ascii="Arial" w:eastAsia="Calibri" w:hAnsi="Arial"/>
                <w:sz w:val="24"/>
                <w:szCs w:val="22"/>
                <w:lang w:eastAsia="en-US"/>
              </w:rPr>
              <w:t xml:space="preserve"> do 6 kabli na każdym module. Co sumarycznie daje możliwość zakończenia 24 kabli miedzianych na jednym panelu, jednocześnie dając możliwość zmiany na etapie użytkowania systemu.</w:t>
            </w:r>
          </w:p>
          <w:p w:rsidR="00406F8B" w:rsidRDefault="00406F8B" w:rsidP="00E46EBE">
            <w:pPr>
              <w:spacing w:before="360" w:after="360" w:line="360" w:lineRule="auto"/>
              <w:contextualSpacing/>
              <w:rPr>
                <w:rFonts w:ascii="Arial" w:eastAsia="Calibri" w:hAnsi="Arial"/>
                <w:sz w:val="24"/>
                <w:szCs w:val="22"/>
                <w:lang w:eastAsia="en-US"/>
              </w:rPr>
            </w:pPr>
          </w:p>
          <w:p w:rsidR="00E469E3" w:rsidRDefault="00E469E3" w:rsidP="00E46EBE">
            <w:pPr>
              <w:spacing w:before="360" w:after="360" w:line="360" w:lineRule="auto"/>
              <w:contextualSpacing/>
              <w:rPr>
                <w:rFonts w:ascii="Arial" w:eastAsia="Calibri" w:hAnsi="Arial"/>
                <w:sz w:val="24"/>
                <w:szCs w:val="22"/>
                <w:lang w:eastAsia="en-US"/>
              </w:rPr>
            </w:pPr>
            <w:r w:rsidRPr="00E469E3">
              <w:rPr>
                <w:rFonts w:ascii="Arial" w:eastAsia="Calibri" w:hAnsi="Arial"/>
                <w:sz w:val="24"/>
                <w:szCs w:val="22"/>
                <w:lang w:eastAsia="en-US"/>
              </w:rPr>
              <w:t>23. W przedmiarze w pozycjach 1.7.1.1 i 1.7.1.2.1 ujęto szafy 42U 800x1200 oraz 42U 600x1200, nie załączono do nich rysunków elewacji ani schematów. Prosimy Zamawiającego o doprecyzowanie wyposażenia tych szaf.</w:t>
            </w:r>
          </w:p>
          <w:p w:rsidR="00E46EBE" w:rsidRPr="00E469E3" w:rsidRDefault="00E46EBE" w:rsidP="00E46EBE">
            <w:pPr>
              <w:spacing w:before="360" w:after="360" w:line="360" w:lineRule="auto"/>
              <w:contextualSpacing/>
              <w:rPr>
                <w:rFonts w:ascii="Arial" w:eastAsia="Calibri" w:hAnsi="Arial"/>
                <w:sz w:val="24"/>
                <w:szCs w:val="22"/>
                <w:lang w:eastAsia="en-US"/>
              </w:rPr>
            </w:pPr>
            <w:r w:rsidRPr="00BC760A">
              <w:rPr>
                <w:rFonts w:ascii="Arial" w:eastAsia="Calibri" w:hAnsi="Arial"/>
                <w:b/>
                <w:sz w:val="24"/>
                <w:szCs w:val="22"/>
                <w:lang w:eastAsia="en-US"/>
              </w:rPr>
              <w:t>Odp.</w:t>
            </w:r>
            <w:r>
              <w:rPr>
                <w:rFonts w:ascii="Arial" w:eastAsia="Calibri" w:hAnsi="Arial"/>
                <w:sz w:val="24"/>
                <w:szCs w:val="22"/>
                <w:lang w:eastAsia="en-US"/>
              </w:rPr>
              <w:t xml:space="preserve"> </w:t>
            </w:r>
            <w:r w:rsidRPr="00E46EBE">
              <w:rPr>
                <w:rFonts w:ascii="Arial" w:eastAsia="Calibri" w:hAnsi="Arial"/>
                <w:sz w:val="24"/>
                <w:szCs w:val="22"/>
                <w:lang w:eastAsia="en-US"/>
              </w:rPr>
              <w:t>Elewacja i schemat zgodnie z rysunkiem nr. TTS-100 (projekt wykonawczy, branża: instalacje elektryczne niskoprądowe). Elementy wyposażenia szaf zgodnie z przedmiarem</w:t>
            </w:r>
            <w:r w:rsidR="00BC760A">
              <w:rPr>
                <w:rFonts w:ascii="Arial" w:eastAsia="Calibri" w:hAnsi="Arial"/>
                <w:sz w:val="24"/>
                <w:szCs w:val="22"/>
                <w:lang w:eastAsia="en-US"/>
              </w:rPr>
              <w:t>.</w:t>
            </w:r>
          </w:p>
          <w:p w:rsidR="00406F8B" w:rsidRDefault="00406F8B" w:rsidP="00BC760A">
            <w:pPr>
              <w:spacing w:after="240" w:line="360" w:lineRule="auto"/>
              <w:jc w:val="both"/>
              <w:rPr>
                <w:rFonts w:ascii="Arial" w:hAnsi="Arial" w:cs="Arial"/>
                <w:sz w:val="24"/>
                <w:szCs w:val="24"/>
              </w:rPr>
            </w:pPr>
          </w:p>
          <w:p w:rsidR="00BC760A" w:rsidRDefault="00BC760A" w:rsidP="00BC760A">
            <w:pPr>
              <w:spacing w:after="240" w:line="360" w:lineRule="auto"/>
              <w:jc w:val="both"/>
              <w:rPr>
                <w:rFonts w:ascii="Arial" w:hAnsi="Arial" w:cs="Arial"/>
                <w:sz w:val="24"/>
                <w:szCs w:val="24"/>
              </w:rPr>
            </w:pPr>
            <w:r>
              <w:rPr>
                <w:rFonts w:ascii="Arial" w:hAnsi="Arial" w:cs="Arial"/>
                <w:sz w:val="24"/>
                <w:szCs w:val="24"/>
              </w:rPr>
              <w:t xml:space="preserve">Z uwagi na powyższe Zamawiający na podstawie art. 286 ust. 1 zmienia SWZ w powyższym zakresie oraz na podstawie art. 286 ust. 3 przedłuża termin składania ofert do dnia </w:t>
            </w:r>
            <w:r>
              <w:rPr>
                <w:rFonts w:ascii="Arial" w:hAnsi="Arial" w:cs="Arial"/>
                <w:b/>
                <w:sz w:val="24"/>
                <w:szCs w:val="24"/>
              </w:rPr>
              <w:t>17.08.2023r. do godz. 10:00</w:t>
            </w:r>
            <w:r>
              <w:rPr>
                <w:rFonts w:ascii="Arial" w:hAnsi="Arial" w:cs="Arial"/>
                <w:sz w:val="24"/>
                <w:szCs w:val="24"/>
              </w:rPr>
              <w:t xml:space="preserve">. Otwarcie ofert nastąpi tego samego dnia tj. </w:t>
            </w:r>
            <w:r>
              <w:rPr>
                <w:rFonts w:ascii="Arial" w:hAnsi="Arial" w:cs="Arial"/>
                <w:b/>
                <w:sz w:val="24"/>
                <w:szCs w:val="24"/>
              </w:rPr>
              <w:t>17.08.2023r. o godz. 11:00</w:t>
            </w:r>
            <w:r>
              <w:rPr>
                <w:rFonts w:ascii="Arial" w:hAnsi="Arial" w:cs="Arial"/>
                <w:sz w:val="24"/>
                <w:szCs w:val="24"/>
              </w:rPr>
              <w:t xml:space="preserve">. </w:t>
            </w:r>
          </w:p>
          <w:p w:rsidR="00BC760A" w:rsidRDefault="00BC760A" w:rsidP="00BC760A">
            <w:pPr>
              <w:spacing w:after="240" w:line="360" w:lineRule="auto"/>
              <w:jc w:val="both"/>
              <w:rPr>
                <w:rFonts w:ascii="Arial" w:hAnsi="Arial" w:cs="Arial"/>
                <w:sz w:val="24"/>
                <w:szCs w:val="24"/>
              </w:rPr>
            </w:pPr>
            <w:r>
              <w:rPr>
                <w:rFonts w:ascii="Arial" w:hAnsi="Arial" w:cs="Arial"/>
                <w:sz w:val="24"/>
                <w:szCs w:val="24"/>
              </w:rPr>
              <w:t xml:space="preserve">Wykonawca pozostaje związany ofertą do dnia 2023-09-15. </w:t>
            </w:r>
          </w:p>
          <w:p w:rsidR="00BC760A" w:rsidRDefault="00BC760A" w:rsidP="00BC760A">
            <w:pPr>
              <w:spacing w:line="360" w:lineRule="auto"/>
              <w:jc w:val="both"/>
              <w:rPr>
                <w:rFonts w:ascii="Arial" w:hAnsi="Arial" w:cs="Arial"/>
                <w:b/>
                <w:sz w:val="24"/>
                <w:szCs w:val="24"/>
              </w:rPr>
            </w:pPr>
            <w:r>
              <w:rPr>
                <w:rFonts w:ascii="Arial" w:hAnsi="Arial" w:cs="Arial"/>
                <w:sz w:val="24"/>
                <w:szCs w:val="24"/>
              </w:rPr>
              <w:t xml:space="preserve">                                                                                                            </w:t>
            </w:r>
            <w:r w:rsidRPr="00BC760A">
              <w:rPr>
                <w:rFonts w:ascii="Arial" w:hAnsi="Arial" w:cs="Arial"/>
                <w:b/>
                <w:sz w:val="24"/>
                <w:szCs w:val="24"/>
              </w:rPr>
              <w:t>Z-ca</w:t>
            </w:r>
            <w:r>
              <w:rPr>
                <w:rFonts w:ascii="Arial" w:hAnsi="Arial" w:cs="Arial"/>
                <w:sz w:val="24"/>
                <w:szCs w:val="24"/>
              </w:rPr>
              <w:t xml:space="preserve"> </w:t>
            </w:r>
            <w:r>
              <w:rPr>
                <w:rFonts w:ascii="Arial" w:hAnsi="Arial" w:cs="Arial"/>
                <w:b/>
                <w:sz w:val="24"/>
                <w:szCs w:val="24"/>
              </w:rPr>
              <w:t>Kanclerza</w:t>
            </w:r>
          </w:p>
          <w:p w:rsidR="00BC760A" w:rsidRDefault="00BC760A" w:rsidP="00BC760A">
            <w:pPr>
              <w:spacing w:line="360" w:lineRule="auto"/>
              <w:jc w:val="right"/>
              <w:rPr>
                <w:rFonts w:ascii="Arial" w:hAnsi="Arial" w:cs="Arial"/>
                <w:b/>
                <w:sz w:val="24"/>
                <w:szCs w:val="24"/>
              </w:rPr>
            </w:pPr>
            <w:r>
              <w:rPr>
                <w:rFonts w:ascii="Arial" w:hAnsi="Arial" w:cs="Arial"/>
                <w:b/>
                <w:sz w:val="24"/>
                <w:szCs w:val="24"/>
              </w:rPr>
              <w:t>Politechniki Częstochowskiej</w:t>
            </w:r>
          </w:p>
          <w:p w:rsidR="00E469D0" w:rsidRPr="00E469D0" w:rsidRDefault="00BC760A" w:rsidP="00BC760A">
            <w:pPr>
              <w:spacing w:line="360" w:lineRule="auto"/>
              <w:ind w:right="-72"/>
              <w:contextualSpacing/>
              <w:jc w:val="right"/>
              <w:rPr>
                <w:rFonts w:ascii="Arial" w:hAnsi="Arial" w:cs="Arial"/>
                <w:sz w:val="22"/>
                <w:szCs w:val="22"/>
                <w:highlight w:val="darkGray"/>
              </w:rPr>
            </w:pPr>
            <w:r>
              <w:rPr>
                <w:rFonts w:ascii="Arial" w:hAnsi="Arial" w:cs="Arial"/>
                <w:b/>
                <w:sz w:val="24"/>
                <w:szCs w:val="24"/>
              </w:rPr>
              <w:t>dr Waldemar Szczepaniak</w:t>
            </w:r>
          </w:p>
        </w:tc>
      </w:tr>
      <w:tr w:rsidR="00E469D0" w:rsidRPr="00E935D6" w:rsidTr="00FC24D0">
        <w:tc>
          <w:tcPr>
            <w:tcW w:w="9356" w:type="dxa"/>
            <w:shd w:val="clear" w:color="auto" w:fill="auto"/>
          </w:tcPr>
          <w:p w:rsidR="00E469D0" w:rsidRPr="00E469D0" w:rsidRDefault="00E469D0" w:rsidP="00E46EBE">
            <w:pPr>
              <w:spacing w:before="360" w:after="360" w:line="360" w:lineRule="auto"/>
              <w:ind w:right="-72"/>
              <w:contextualSpacing/>
              <w:jc w:val="both"/>
              <w:rPr>
                <w:rFonts w:ascii="Arial" w:hAnsi="Arial" w:cs="Arial"/>
                <w:sz w:val="22"/>
                <w:szCs w:val="22"/>
                <w:highlight w:val="darkGray"/>
              </w:rPr>
            </w:pPr>
          </w:p>
        </w:tc>
      </w:tr>
      <w:tr w:rsidR="00E469D0" w:rsidRPr="00E935D6" w:rsidTr="00FC24D0">
        <w:tc>
          <w:tcPr>
            <w:tcW w:w="9356" w:type="dxa"/>
            <w:shd w:val="clear" w:color="auto" w:fill="auto"/>
          </w:tcPr>
          <w:p w:rsidR="00E469D0" w:rsidRPr="00E469D0" w:rsidRDefault="00E469D0" w:rsidP="00E46EBE">
            <w:pPr>
              <w:spacing w:before="360" w:after="360" w:line="360" w:lineRule="auto"/>
              <w:ind w:right="-72"/>
              <w:contextualSpacing/>
              <w:jc w:val="both"/>
              <w:rPr>
                <w:rFonts w:ascii="Arial" w:hAnsi="Arial" w:cs="Arial"/>
                <w:sz w:val="22"/>
                <w:szCs w:val="22"/>
                <w:highlight w:val="darkGray"/>
              </w:rPr>
            </w:pPr>
          </w:p>
        </w:tc>
      </w:tr>
      <w:tr w:rsidR="00E469D0" w:rsidRPr="00E935D6" w:rsidTr="00FC24D0">
        <w:tc>
          <w:tcPr>
            <w:tcW w:w="9356" w:type="dxa"/>
            <w:shd w:val="clear" w:color="auto" w:fill="auto"/>
          </w:tcPr>
          <w:p w:rsidR="00E469D0" w:rsidRPr="00E469D0" w:rsidRDefault="00E469D0" w:rsidP="00E46EBE">
            <w:pPr>
              <w:spacing w:before="360" w:after="360" w:line="360" w:lineRule="auto"/>
              <w:ind w:right="-72"/>
              <w:contextualSpacing/>
              <w:jc w:val="both"/>
              <w:rPr>
                <w:rFonts w:ascii="Arial" w:hAnsi="Arial" w:cs="Arial"/>
                <w:sz w:val="22"/>
                <w:szCs w:val="22"/>
                <w:highlight w:val="darkGray"/>
              </w:rPr>
            </w:pPr>
          </w:p>
        </w:tc>
      </w:tr>
    </w:tbl>
    <w:p w:rsidR="00BE7BFD" w:rsidRPr="00E935D6" w:rsidRDefault="00BE7BFD" w:rsidP="00E46EBE">
      <w:pPr>
        <w:spacing w:before="360" w:after="360" w:line="360" w:lineRule="auto"/>
        <w:contextualSpacing/>
        <w:jc w:val="both"/>
        <w:rPr>
          <w:rFonts w:ascii="Arial" w:hAnsi="Arial" w:cs="Arial"/>
          <w:sz w:val="22"/>
          <w:szCs w:val="22"/>
        </w:rPr>
      </w:pPr>
    </w:p>
    <w:sectPr w:rsidR="00BE7BFD" w:rsidRPr="00E935D6"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7646" w:rsidRDefault="009A7646">
      <w:r>
        <w:separator/>
      </w:r>
    </w:p>
  </w:endnote>
  <w:endnote w:type="continuationSeparator" w:id="0">
    <w:p w:rsidR="009A7646" w:rsidRDefault="009A7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Roboto">
    <w:altName w:val="Times New Roman"/>
    <w:charset w:val="00"/>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60A" w:rsidRDefault="00BC760A" w:rsidP="00BC760A">
    <w:pPr>
      <w:spacing w:line="276" w:lineRule="auto"/>
      <w:rPr>
        <w:rFonts w:ascii="Roboto" w:hAnsi="Roboto"/>
        <w:b/>
        <w:bCs/>
        <w:sz w:val="22"/>
        <w:szCs w:val="18"/>
      </w:rPr>
    </w:pPr>
    <w:r>
      <w:rPr>
        <w:noProof/>
      </w:rPr>
      <mc:AlternateContent>
        <mc:Choice Requires="wps">
          <w:drawing>
            <wp:anchor distT="0" distB="0" distL="114300" distR="114300" simplePos="0" relativeHeight="251662848" behindDoc="0" locked="0" layoutInCell="1" allowOverlap="1">
              <wp:simplePos x="0" y="0"/>
              <wp:positionH relativeFrom="column">
                <wp:posOffset>-1905</wp:posOffset>
              </wp:positionH>
              <wp:positionV relativeFrom="paragraph">
                <wp:posOffset>83185</wp:posOffset>
              </wp:positionV>
              <wp:extent cx="5400675" cy="635"/>
              <wp:effectExtent l="0" t="0" r="9525" b="18415"/>
              <wp:wrapNone/>
              <wp:docPr id="7"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E9B8B82" id="_x0000_t32" coordsize="21600,21600" o:spt="32" o:oned="t" path="m,l21600,21600e" filled="f">
              <v:path arrowok="t" fillok="f" o:connecttype="none"/>
              <o:lock v:ext="edit" shapetype="t"/>
            </v:shapetype>
            <v:shape id="Łącznik prosty ze strzałką 3" o:spid="_x0000_s1026" type="#_x0000_t32" style="position:absolute;margin-left:-.15pt;margin-top:6.55pt;width:425.25pt;height:.0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aCdPAIAAFMEAAAOAAAAZHJzL2Uyb0RvYy54bWysVMGO2jAQvVfqP1i5QxIILESEVZVAL9sW&#10;abcfYGyHWCS2ZRsCVD200v7Z7n91bAJa2ktVNQfHjj1v3sx7zuz+0NRoz7ThUmRB3I8CxASRlItN&#10;Fnx9WvYmATIWC4prKVgWHJkJ7ufv381albKBrGRNmUYAIkzaqiyorFVpGBpSsQabvlRMwGYpdYMt&#10;LPUmpBq3gN7U4SCKxmErNVVaEmYMfC3Om8Hc45clI/ZLWRpmUZ0FwM36Uftx7cZwPsPpRmNVcdLR&#10;wP/AosFcQNIrVIEtRjvN/4BqONHSyNL2iWxCWZacMF8DVBNHv1XzWGHFfC3QHKOubTL/D5Z83q80&#10;4jQL7gIkcAMSvf54eSYnwbcI+mrsEZ0YSKhP+PXn9uUZDV3PWmVSCM3FSruqyUE8qgdJtgYJmVdY&#10;bJjn/nRUABi7iPAmxC2Mgszr9pOkcAbvrPQNPJS6cZDQGnTwOh2vOrGDRQQ+jhJQ/m4UIAJ74+HI&#10;4+P0Eqq0sR+ZbIC/AcGBO+abyuZSCPCD1LFPhPcPxjpiOL0EuLxCLnlde1vUArXAfhqNIh9hZM2p&#10;23XnjN6s81qjPXbO8k9H4+aYljtBPVrFMF10c4t5fZ5D9lo4PKgN+HSzs3W+TaPpYrKYJL1kMF70&#10;kqgoeh+WedIbL+O7UTEs8ryIvztqcZJWnFImHLuLjePk72zSXaizAa9GvvYhvEX3DQOyl7cn7cV1&#10;ep6dsZb0uNIX0cG5/nB3y9zVeLuG+dt/wfwXAAAA//8DAFBLAwQUAAYACAAAACEAD95PrNgAAAAH&#10;AQAADwAAAGRycy9kb3ducmV2LnhtbEyOzU6DQBSF9ya+w+SauDHtUBobggyNMXHlQmx9gAtcgcjc&#10;IcxQxrf3dqXL85NzvuIY7aguNPvBsYHdNgFF3Lh24M7A5/l1k4HyAbnF0TEZ+CEPx/L2psC8dSt/&#10;0OUUOiUj7HM00Icw5Vr7pieLfusmYsm+3GwxiJw73c64yrgddZokB21xYHnocaKXnprv02INxPcD&#10;h1hlsV55efPZQxXRVsbc38XnJ1CBYvgrwxVf0KEUptot3Ho1GtjspSj2fgdK4uwxSUHVVyMFXRb6&#10;P3/5CwAA//8DAFBLAQItABQABgAIAAAAIQC2gziS/gAAAOEBAAATAAAAAAAAAAAAAAAAAAAAAABb&#10;Q29udGVudF9UeXBlc10ueG1sUEsBAi0AFAAGAAgAAAAhADj9If/WAAAAlAEAAAsAAAAAAAAAAAAA&#10;AAAALwEAAF9yZWxzLy5yZWxzUEsBAi0AFAAGAAgAAAAhAOhhoJ08AgAAUwQAAA4AAAAAAAAAAAAA&#10;AAAALgIAAGRycy9lMm9Eb2MueG1sUEsBAi0AFAAGAAgAAAAhAA/eT6zYAAAABwEAAA8AAAAAAAAA&#10;AAAAAAAAlgQAAGRycy9kb3ducmV2LnhtbFBLBQYAAAAABAAEAPMAAACbBQAAAAA=&#10;" strokeweight="1.5pt"/>
          </w:pict>
        </mc:Fallback>
      </mc:AlternateContent>
    </w:r>
    <w:r>
      <w:rPr>
        <w:noProof/>
      </w:rPr>
      <w:drawing>
        <wp:anchor distT="0" distB="0" distL="114300" distR="114300" simplePos="0" relativeHeight="251665920"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6" name="Obraz 7"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896"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3" name="Obraz 6"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BC760A" w:rsidTr="00BC760A">
      <w:tc>
        <w:tcPr>
          <w:tcW w:w="0" w:type="auto"/>
          <w:vAlign w:val="center"/>
        </w:tcPr>
        <w:p w:rsidR="00BC760A" w:rsidRDefault="00BC760A" w:rsidP="00BC760A">
          <w:pPr>
            <w:jc w:val="center"/>
            <w:rPr>
              <w:rFonts w:ascii="Roboto Bk" w:hAnsi="Roboto Bk"/>
              <w:b/>
              <w:bCs/>
              <w:color w:val="00B6ED"/>
              <w:sz w:val="18"/>
              <w:szCs w:val="18"/>
            </w:rPr>
          </w:pPr>
        </w:p>
      </w:tc>
      <w:tc>
        <w:tcPr>
          <w:tcW w:w="0" w:type="auto"/>
          <w:vAlign w:val="center"/>
          <w:hideMark/>
        </w:tcPr>
        <w:p w:rsidR="00BC760A" w:rsidRDefault="00BC760A" w:rsidP="00BC760A">
          <w:pPr>
            <w:jc w:val="center"/>
            <w:rPr>
              <w:rFonts w:ascii="Roboto Bk" w:hAnsi="Roboto Bk"/>
              <w:b/>
              <w:bCs/>
              <w:sz w:val="18"/>
              <w:szCs w:val="18"/>
            </w:rPr>
          </w:pPr>
          <w:r>
            <w:rPr>
              <w:rFonts w:ascii="Roboto Bk" w:hAnsi="Roboto Bk"/>
              <w:noProof/>
              <w:sz w:val="28"/>
              <w:szCs w:val="28"/>
            </w:rPr>
            <w:t xml:space="preserve">  RK</w:t>
          </w:r>
        </w:p>
      </w:tc>
      <w:tc>
        <w:tcPr>
          <w:tcW w:w="0" w:type="auto"/>
          <w:vAlign w:val="center"/>
        </w:tcPr>
        <w:p w:rsidR="00BC760A" w:rsidRDefault="00BC760A" w:rsidP="00BC760A">
          <w:pPr>
            <w:jc w:val="center"/>
            <w:rPr>
              <w:rFonts w:ascii="Roboto Bk" w:hAnsi="Roboto Bk"/>
              <w:b/>
              <w:bCs/>
              <w:color w:val="2F5496"/>
              <w:sz w:val="18"/>
              <w:szCs w:val="18"/>
            </w:rPr>
          </w:pPr>
        </w:p>
      </w:tc>
      <w:tc>
        <w:tcPr>
          <w:tcW w:w="0" w:type="auto"/>
        </w:tcPr>
        <w:p w:rsidR="00BC760A" w:rsidRDefault="00BC760A" w:rsidP="00BC760A">
          <w:pPr>
            <w:jc w:val="center"/>
            <w:rPr>
              <w:rFonts w:ascii="Arial" w:hAnsi="Arial"/>
              <w:noProof/>
              <w:sz w:val="22"/>
              <w:szCs w:val="22"/>
            </w:rPr>
          </w:pPr>
        </w:p>
      </w:tc>
    </w:tr>
  </w:tbl>
  <w:p w:rsidR="00BC760A" w:rsidRDefault="00BC760A" w:rsidP="00BC760A">
    <w:pPr>
      <w:spacing w:line="276" w:lineRule="auto"/>
      <w:rPr>
        <w:rFonts w:ascii="Roboto" w:hAnsi="Roboto"/>
        <w:b/>
        <w:bCs/>
        <w:sz w:val="24"/>
        <w:szCs w:val="24"/>
      </w:rPr>
    </w:pPr>
    <w:r>
      <w:rPr>
        <w:rFonts w:ascii="Roboto" w:hAnsi="Roboto"/>
        <w:b/>
        <w:bCs/>
        <w:sz w:val="24"/>
        <w:szCs w:val="18"/>
      </w:rPr>
      <w:t>Kanclerz Politechniki Częstochowskiej</w:t>
    </w:r>
  </w:p>
  <w:p w:rsidR="00BC760A" w:rsidRDefault="00BC760A" w:rsidP="00BC760A">
    <w:pPr>
      <w:spacing w:line="276" w:lineRule="auto"/>
      <w:rPr>
        <w:rFonts w:ascii="Roboto" w:hAnsi="Roboto"/>
        <w:sz w:val="24"/>
        <w:szCs w:val="24"/>
      </w:rPr>
    </w:pPr>
    <w:r>
      <w:rPr>
        <w:noProof/>
      </w:rPr>
      <w:drawing>
        <wp:anchor distT="0" distB="0" distL="114300" distR="114300" simplePos="0" relativeHeight="251663872"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2" name="Obraz 5"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oboto" w:hAnsi="Roboto"/>
        <w:sz w:val="24"/>
        <w:szCs w:val="24"/>
      </w:rPr>
      <w:t>ul. Gen. J.H. Dąbrowskiego 69, 42-201 Częstochowa</w:t>
    </w:r>
  </w:p>
  <w:p w:rsidR="00BC760A" w:rsidRDefault="00BC760A" w:rsidP="00BC760A">
    <w:pPr>
      <w:spacing w:line="276" w:lineRule="auto"/>
      <w:rPr>
        <w:rFonts w:ascii="Arial" w:hAnsi="Arial"/>
        <w:noProof/>
        <w:sz w:val="24"/>
        <w:szCs w:val="24"/>
      </w:rPr>
    </w:pPr>
    <w:r>
      <w:rPr>
        <w:rFonts w:ascii="Roboto" w:hAnsi="Roboto"/>
        <w:sz w:val="24"/>
        <w:szCs w:val="24"/>
      </w:rPr>
      <w:t>tel. +48 34 325 02 56, e-mail: kanclerz@pcz.pl</w:t>
    </w:r>
  </w:p>
  <w:p w:rsidR="006D4AB3" w:rsidRDefault="00BC760A" w:rsidP="00BC760A">
    <w:pPr>
      <w:rPr>
        <w:rFonts w:ascii="Arial" w:hAnsi="Arial" w:cs="Arial"/>
        <w:sz w:val="18"/>
        <w:szCs w:val="18"/>
      </w:rPr>
    </w:pPr>
    <w:r>
      <w:rPr>
        <w:rFonts w:ascii="Roboto" w:hAnsi="Roboto"/>
        <w:b/>
        <w:sz w:val="24"/>
        <w:szCs w:val="24"/>
      </w:rPr>
      <w:t>www.pcz.pl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F63079">
      <w:rPr>
        <w:rStyle w:val="Numerstrony"/>
        <w:noProof/>
      </w:rPr>
      <w:t>12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7646" w:rsidRDefault="009A7646">
      <w:r>
        <w:separator/>
      </w:r>
    </w:p>
  </w:footnote>
  <w:footnote w:type="continuationSeparator" w:id="0">
    <w:p w:rsidR="009A7646" w:rsidRDefault="009A76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69D0" w:rsidRDefault="00E469D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60A" w:rsidRDefault="00BC760A" w:rsidP="00BC760A">
    <w:pPr>
      <w:tabs>
        <w:tab w:val="center" w:pos="4536"/>
        <w:tab w:val="right" w:pos="9072"/>
      </w:tabs>
      <w:spacing w:after="160" w:line="254" w:lineRule="auto"/>
      <w:rPr>
        <w:rFonts w:ascii="Arial" w:hAnsi="Arial"/>
        <w:sz w:val="22"/>
        <w:szCs w:val="22"/>
      </w:rPr>
    </w:pPr>
    <w:r>
      <w:rPr>
        <w:noProof/>
      </w:rPr>
      <mc:AlternateContent>
        <mc:Choice Requires="wps">
          <w:drawing>
            <wp:anchor distT="0" distB="0" distL="114300" distR="114300" simplePos="0" relativeHeight="251659776" behindDoc="0" locked="0" layoutInCell="1" allowOverlap="1">
              <wp:simplePos x="0" y="0"/>
              <wp:positionH relativeFrom="column">
                <wp:posOffset>-1905</wp:posOffset>
              </wp:positionH>
              <wp:positionV relativeFrom="paragraph">
                <wp:posOffset>732155</wp:posOffset>
              </wp:positionV>
              <wp:extent cx="5400675" cy="635"/>
              <wp:effectExtent l="0" t="0" r="9525" b="18415"/>
              <wp:wrapNone/>
              <wp:docPr id="9" name="Łącznik prosty ze strzałką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0A90190" id="_x0000_t32" coordsize="21600,21600" o:spt="32" o:oned="t" path="m,l21600,21600e" filled="f">
              <v:path arrowok="t" fillok="f" o:connecttype="none"/>
              <o:lock v:ext="edit" shapetype="t"/>
            </v:shapetype>
            <v:shape id="Łącznik prosty ze strzałką 2" o:spid="_x0000_s1026" type="#_x0000_t32" style="position:absolute;margin-left:-.15pt;margin-top:57.65pt;width:425.25pt;height:.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XycPAIAAFMEAAAOAAAAZHJzL2Uyb0RvYy54bWysVMGO2jAQvVfqP1i5QxI2sBARVlUCvWxb&#10;pN1+gLGdxCKxLdsQ2KqHVto/2/2vjk1AS3upqubg2LHnzZt5z5nfHdoG7Zk2XIosiIdRgJggknJR&#10;ZcHXx9VgGiBjsaC4kYJlwZGZ4G7x/t28UykbyVo2lGkEIMKkncqC2lqVhqEhNWuxGUrFBGyWUrfY&#10;wlJXIdW4A/S2CUdRNAk7qanSkjBj4Gtx2gwWHr8sGbFfytIwi5osAG7Wj9qPGzeGizlOK41VzUlP&#10;A/8DixZzAUkvUAW2GO00/wOq5URLI0s7JLINZVlywnwNUE0c/VbNQ40V87VAc4y6tMn8P1jyeb/W&#10;iNMsmAVI4BYkev3x8kyeBN8i6KuxR/TEQEL9hF9/bl+e0cj1rFMmhdBcrLWrmhzEg7qXZGuQkHmN&#10;RcU898ejAsDYRYRXIW5hFGTedJ8khTN4Z6Vv4KHUrYOE1qCD1+l40YkdLCLwcZyA8rfjABHYm9yM&#10;PT5Oz6FKG/uRyRb4GxAcuGNe1TaXQoAfpI59Iry/N9YRw+k5wOUVcsWbxtuiEagD9rNoHPkIIxtO&#10;3a47Z3S1yRuN9tg5yz89jatjWu4E9Wg1w3TZzy3mzWkO2Rvh8KA24NPPTtb5Notmy+lymgyS0WQ5&#10;SKKiGHxY5clgsopvx8VNkedF/N1Ri5O05pQy4didbRwnf2eT/kKdDHgx8qUP4TW6bxiQPb89aS+u&#10;0/PkjI2kx7U+iw7O9Yf7W+auxts1zN/+Cxa/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LYBfJw8AgAAUwQAAA4AAAAAAAAA&#10;AAAAAAAALgIAAGRycy9lMm9Eb2MueG1sUEsBAi0AFAAGAAgAAAAhAB2YxIHbAAAACQEAAA8AAAAA&#10;AAAAAAAAAAAAlgQAAGRycy9kb3ducmV2LnhtbFBLBQYAAAAABAAEAPMAAACeBQAAAAA=&#10;" strokeweight="1.5pt"/>
          </w:pict>
        </mc:Fallback>
      </mc:AlternateContent>
    </w:r>
    <w:r>
      <w:rPr>
        <w:noProof/>
      </w:rPr>
      <w:drawing>
        <wp:anchor distT="0" distB="0" distL="114300" distR="114300" simplePos="0" relativeHeight="251660800" behindDoc="0" locked="0" layoutInCell="1" allowOverlap="1">
          <wp:simplePos x="0" y="0"/>
          <wp:positionH relativeFrom="column">
            <wp:posOffset>-28575</wp:posOffset>
          </wp:positionH>
          <wp:positionV relativeFrom="paragraph">
            <wp:posOffset>-225425</wp:posOffset>
          </wp:positionV>
          <wp:extent cx="2468880" cy="956945"/>
          <wp:effectExtent l="0" t="0" r="0" b="0"/>
          <wp:wrapNone/>
          <wp:docPr id="8" name="Obraz 3"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C760A" w:rsidRDefault="00BC760A" w:rsidP="00BC760A">
    <w:pPr>
      <w:pStyle w:val="Nagwek"/>
    </w:pPr>
  </w:p>
  <w:p w:rsidR="00BC760A" w:rsidRDefault="00BC760A" w:rsidP="00BC760A">
    <w:pPr>
      <w:pStyle w:val="Nagwek"/>
    </w:pPr>
  </w:p>
  <w:p w:rsidR="00E469D0" w:rsidRDefault="00E469D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69D0" w:rsidRDefault="00E469D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DA9"/>
    <w:rsid w:val="00031374"/>
    <w:rsid w:val="000518C0"/>
    <w:rsid w:val="000A1097"/>
    <w:rsid w:val="000E2A8F"/>
    <w:rsid w:val="0012774F"/>
    <w:rsid w:val="00144B7A"/>
    <w:rsid w:val="00180C6E"/>
    <w:rsid w:val="0029606A"/>
    <w:rsid w:val="00406F8B"/>
    <w:rsid w:val="004533F4"/>
    <w:rsid w:val="004848F3"/>
    <w:rsid w:val="004A75F2"/>
    <w:rsid w:val="005144A9"/>
    <w:rsid w:val="00520165"/>
    <w:rsid w:val="005B1B08"/>
    <w:rsid w:val="00632C3C"/>
    <w:rsid w:val="00662BDB"/>
    <w:rsid w:val="006A5DF1"/>
    <w:rsid w:val="006B7198"/>
    <w:rsid w:val="006D4AB3"/>
    <w:rsid w:val="006F3B81"/>
    <w:rsid w:val="007D7198"/>
    <w:rsid w:val="00864A4B"/>
    <w:rsid w:val="00870F9F"/>
    <w:rsid w:val="008804B6"/>
    <w:rsid w:val="00897AB0"/>
    <w:rsid w:val="008A3553"/>
    <w:rsid w:val="009A7646"/>
    <w:rsid w:val="00A905AC"/>
    <w:rsid w:val="00AE7DA9"/>
    <w:rsid w:val="00BA6584"/>
    <w:rsid w:val="00BC760A"/>
    <w:rsid w:val="00BE7BFD"/>
    <w:rsid w:val="00C370F2"/>
    <w:rsid w:val="00C44EEC"/>
    <w:rsid w:val="00D22FFA"/>
    <w:rsid w:val="00D8461B"/>
    <w:rsid w:val="00D915F2"/>
    <w:rsid w:val="00DF32E8"/>
    <w:rsid w:val="00DF53CA"/>
    <w:rsid w:val="00E21B49"/>
    <w:rsid w:val="00E2789F"/>
    <w:rsid w:val="00E469D0"/>
    <w:rsid w:val="00E469E3"/>
    <w:rsid w:val="00E46EBE"/>
    <w:rsid w:val="00E72428"/>
    <w:rsid w:val="00E74BC3"/>
    <w:rsid w:val="00E935D6"/>
    <w:rsid w:val="00EA14B3"/>
    <w:rsid w:val="00EA416E"/>
    <w:rsid w:val="00F1364B"/>
    <w:rsid w:val="00F63079"/>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54B7CBF"/>
  <w15:chartTrackingRefBased/>
  <w15:docId w15:val="{B2A03AB8-8214-4FA2-88C0-4B04B8D3A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BC76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488062322">
      <w:bodyDiv w:val="1"/>
      <w:marLeft w:val="0"/>
      <w:marRight w:val="0"/>
      <w:marTop w:val="0"/>
      <w:marBottom w:val="0"/>
      <w:divBdr>
        <w:top w:val="none" w:sz="0" w:space="0" w:color="auto"/>
        <w:left w:val="none" w:sz="0" w:space="0" w:color="auto"/>
        <w:bottom w:val="none" w:sz="0" w:space="0" w:color="auto"/>
        <w:right w:val="none" w:sz="0" w:space="0" w:color="auto"/>
      </w:divBdr>
    </w:div>
    <w:div w:id="598410806">
      <w:bodyDiv w:val="1"/>
      <w:marLeft w:val="0"/>
      <w:marRight w:val="0"/>
      <w:marTop w:val="0"/>
      <w:marBottom w:val="0"/>
      <w:divBdr>
        <w:top w:val="none" w:sz="0" w:space="0" w:color="auto"/>
        <w:left w:val="none" w:sz="0" w:space="0" w:color="auto"/>
        <w:bottom w:val="none" w:sz="0" w:space="0" w:color="auto"/>
        <w:right w:val="none" w:sz="0" w:space="0" w:color="auto"/>
      </w:divBdr>
    </w:div>
    <w:div w:id="661009316">
      <w:bodyDiv w:val="1"/>
      <w:marLeft w:val="0"/>
      <w:marRight w:val="0"/>
      <w:marTop w:val="0"/>
      <w:marBottom w:val="0"/>
      <w:divBdr>
        <w:top w:val="none" w:sz="0" w:space="0" w:color="auto"/>
        <w:left w:val="none" w:sz="0" w:space="0" w:color="auto"/>
        <w:bottom w:val="none" w:sz="0" w:space="0" w:color="auto"/>
        <w:right w:val="none" w:sz="0" w:space="0" w:color="auto"/>
      </w:divBdr>
    </w:div>
    <w:div w:id="1241255900">
      <w:bodyDiv w:val="1"/>
      <w:marLeft w:val="0"/>
      <w:marRight w:val="0"/>
      <w:marTop w:val="0"/>
      <w:marBottom w:val="0"/>
      <w:divBdr>
        <w:top w:val="none" w:sz="0" w:space="0" w:color="auto"/>
        <w:left w:val="none" w:sz="0" w:space="0" w:color="auto"/>
        <w:bottom w:val="none" w:sz="0" w:space="0" w:color="auto"/>
        <w:right w:val="none" w:sz="0" w:space="0" w:color="auto"/>
      </w:divBdr>
    </w:div>
    <w:div w:id="1594628954">
      <w:bodyDiv w:val="1"/>
      <w:marLeft w:val="0"/>
      <w:marRight w:val="0"/>
      <w:marTop w:val="0"/>
      <w:marBottom w:val="0"/>
      <w:divBdr>
        <w:top w:val="none" w:sz="0" w:space="0" w:color="auto"/>
        <w:left w:val="none" w:sz="0" w:space="0" w:color="auto"/>
        <w:bottom w:val="none" w:sz="0" w:space="0" w:color="auto"/>
        <w:right w:val="none" w:sz="0" w:space="0" w:color="auto"/>
      </w:divBdr>
    </w:div>
    <w:div w:id="170316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KASZ~1.ZY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12</Pages>
  <Words>3180</Words>
  <Characters>19082</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Łukasz Zyngier</dc:creator>
  <cp:keywords/>
  <cp:lastModifiedBy>Łukasz Zyngier</cp:lastModifiedBy>
  <cp:revision>2</cp:revision>
  <cp:lastPrinted>2023-08-03T08:48:00Z</cp:lastPrinted>
  <dcterms:created xsi:type="dcterms:W3CDTF">2023-08-03T12:22:00Z</dcterms:created>
  <dcterms:modified xsi:type="dcterms:W3CDTF">2023-08-03T12:22:00Z</dcterms:modified>
</cp:coreProperties>
</file>