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F3" w:rsidRDefault="00445FF3" w:rsidP="00445FF3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 – załącznik nr 8 do SWZ</w:t>
      </w:r>
    </w:p>
    <w:p w:rsidR="00445FF3" w:rsidRPr="00445FF3" w:rsidRDefault="00445FF3" w:rsidP="00445FF3">
      <w:p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  <w:b/>
        </w:rPr>
        <w:t>Urządzenie Access-Point – 5 sztuk o identycznej specyfikacji jak poniżej</w:t>
      </w:r>
    </w:p>
    <w:p w:rsidR="00445FF3" w:rsidRPr="00445FF3" w:rsidRDefault="00445FF3" w:rsidP="00445FF3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Urządzenie musi być przystosowane do instalacji poza budynkiem/pomieszczeniem (typu </w:t>
      </w:r>
      <w:proofErr w:type="spellStart"/>
      <w:r w:rsidRPr="00445FF3">
        <w:rPr>
          <w:rFonts w:ascii="Arial" w:hAnsi="Arial" w:cs="Arial"/>
        </w:rPr>
        <w:t>outdoor</w:t>
      </w:r>
      <w:proofErr w:type="spellEnd"/>
      <w:r w:rsidRPr="00445FF3">
        <w:rPr>
          <w:rFonts w:ascii="Arial" w:hAnsi="Arial" w:cs="Arial"/>
        </w:rPr>
        <w:t>)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Pełna współpraca posiadanym kontrolerem WLAN </w:t>
      </w:r>
      <w:proofErr w:type="spellStart"/>
      <w:r w:rsidRPr="00445FF3">
        <w:rPr>
          <w:rFonts w:ascii="Arial" w:hAnsi="Arial" w:cs="Arial"/>
        </w:rPr>
        <w:t>Ruckus</w:t>
      </w:r>
      <w:proofErr w:type="spellEnd"/>
      <w:r w:rsidRPr="00445FF3">
        <w:rPr>
          <w:rFonts w:ascii="Arial" w:hAnsi="Arial" w:cs="Arial"/>
        </w:rPr>
        <w:t xml:space="preserve"> Virtual </w:t>
      </w:r>
      <w:proofErr w:type="spellStart"/>
      <w:r w:rsidRPr="00445FF3">
        <w:rPr>
          <w:rFonts w:ascii="Arial" w:hAnsi="Arial" w:cs="Arial"/>
        </w:rPr>
        <w:t>SmartZone</w:t>
      </w:r>
      <w:proofErr w:type="spellEnd"/>
      <w:r w:rsidRPr="00445FF3">
        <w:rPr>
          <w:rFonts w:ascii="Arial" w:hAnsi="Arial" w:cs="Arial"/>
        </w:rPr>
        <w:t>, wersja oprogramowania 6.1.1.0.959.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Dwa tryby pracy: 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>samodzielny (zarządzanie punktem odbywa się poprzez interfejs przeglądarki internetowej, telnet i SSH)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>zarządzany przez zewnętrzny kontroler sieci bezprzewodowej (tzw. LWAPP)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Wsparcie dla trybu tunelowania ruchu klientów do kontrolera oraz lokalnego przełączania (tzw. </w:t>
      </w:r>
      <w:proofErr w:type="spellStart"/>
      <w:r w:rsidRPr="00445FF3">
        <w:rPr>
          <w:rFonts w:ascii="Arial" w:hAnsi="Arial" w:cs="Arial"/>
        </w:rPr>
        <w:t>FlexConnect</w:t>
      </w:r>
      <w:proofErr w:type="spellEnd"/>
      <w:r w:rsidRPr="00445FF3">
        <w:rPr>
          <w:rFonts w:ascii="Arial" w:hAnsi="Arial" w:cs="Arial"/>
        </w:rPr>
        <w:t xml:space="preserve"> lub </w:t>
      </w:r>
      <w:proofErr w:type="spellStart"/>
      <w:r w:rsidRPr="00445FF3">
        <w:rPr>
          <w:rFonts w:ascii="Arial" w:hAnsi="Arial" w:cs="Arial"/>
        </w:rPr>
        <w:t>Local-Switching</w:t>
      </w:r>
      <w:proofErr w:type="spellEnd"/>
      <w:r w:rsidRPr="00445FF3">
        <w:rPr>
          <w:rFonts w:ascii="Arial" w:hAnsi="Arial" w:cs="Arial"/>
        </w:rPr>
        <w:t>).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Jednoczesna praca w paśmie 2,4 GHz i 5 GHz poprzez minimum dwa moduły radiowe.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Obsługa standardów IEEE 802.11a/b/g/n/</w:t>
      </w:r>
      <w:proofErr w:type="spellStart"/>
      <w:r w:rsidRPr="00445FF3">
        <w:rPr>
          <w:rFonts w:ascii="Arial" w:hAnsi="Arial" w:cs="Arial"/>
        </w:rPr>
        <w:t>ac</w:t>
      </w:r>
      <w:proofErr w:type="spellEnd"/>
      <w:r w:rsidRPr="00445FF3">
        <w:rPr>
          <w:rFonts w:ascii="Arial" w:hAnsi="Arial" w:cs="Arial"/>
        </w:rPr>
        <w:t xml:space="preserve"> (</w:t>
      </w:r>
      <w:proofErr w:type="spellStart"/>
      <w:r w:rsidRPr="00445FF3">
        <w:rPr>
          <w:rFonts w:ascii="Arial" w:hAnsi="Arial" w:cs="Arial"/>
        </w:rPr>
        <w:t>Wave</w:t>
      </w:r>
      <w:proofErr w:type="spellEnd"/>
      <w:r w:rsidRPr="00445FF3">
        <w:rPr>
          <w:rFonts w:ascii="Arial" w:hAnsi="Arial" w:cs="Arial"/>
        </w:rPr>
        <w:t xml:space="preserve"> 1 oraz </w:t>
      </w:r>
      <w:proofErr w:type="spellStart"/>
      <w:r w:rsidRPr="00445FF3">
        <w:rPr>
          <w:rFonts w:ascii="Arial" w:hAnsi="Arial" w:cs="Arial"/>
        </w:rPr>
        <w:t>ac</w:t>
      </w:r>
      <w:proofErr w:type="spellEnd"/>
      <w:r w:rsidRPr="00445FF3">
        <w:rPr>
          <w:rFonts w:ascii="Arial" w:hAnsi="Arial" w:cs="Arial"/>
        </w:rPr>
        <w:t xml:space="preserve"> </w:t>
      </w:r>
      <w:proofErr w:type="spellStart"/>
      <w:r w:rsidRPr="00445FF3">
        <w:rPr>
          <w:rFonts w:ascii="Arial" w:hAnsi="Arial" w:cs="Arial"/>
        </w:rPr>
        <w:t>Wave</w:t>
      </w:r>
      <w:proofErr w:type="spellEnd"/>
      <w:r w:rsidRPr="00445FF3">
        <w:rPr>
          <w:rFonts w:ascii="Arial" w:hAnsi="Arial" w:cs="Arial"/>
        </w:rPr>
        <w:t xml:space="preserve"> 2), </w:t>
      </w:r>
      <w:proofErr w:type="spellStart"/>
      <w:r w:rsidRPr="00445FF3">
        <w:rPr>
          <w:rFonts w:ascii="Arial" w:hAnsi="Arial" w:cs="Arial"/>
        </w:rPr>
        <w:t>ax</w:t>
      </w:r>
      <w:proofErr w:type="spellEnd"/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Obsługa standardów IEEE 802.11d, 802.11h.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Minimum dwa moduły radiowe pracujące jednocześnie.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Praca w trybie MIMO – wsparcie dla SU-MIMO oraz MU-MIMO o parametrach radiowych minimum 2x2:2.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Wymagana obsługa minimum 252 klientów jednocześnie.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Automatyczna ochrona przed interferencjami sygnału. Jeśli funkcja ta wymaga dodatkowego oprogramowania musi być ono dostarczone wraz z systemem.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Monitorowanie kanałów WLAN w tle – odszukiwanie najlepszych kanałów.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Wbudowane wsparcie dla analizy spektrum widma.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Wsparcie dla WIPS lub WIDS – urządzenie musi jednocześnie pełnić rolę Access-</w:t>
      </w:r>
      <w:proofErr w:type="spellStart"/>
      <w:r w:rsidRPr="00445FF3">
        <w:rPr>
          <w:rFonts w:ascii="Arial" w:hAnsi="Arial" w:cs="Arial"/>
        </w:rPr>
        <w:t>Point’a</w:t>
      </w:r>
      <w:proofErr w:type="spellEnd"/>
      <w:r w:rsidRPr="00445FF3">
        <w:rPr>
          <w:rFonts w:ascii="Arial" w:hAnsi="Arial" w:cs="Arial"/>
        </w:rPr>
        <w:t xml:space="preserve"> dla użytkowników oraz sensora bezpieczeństwa dla wykrywania ataków w ramach sieci bezprzewodowej.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Wsparcie dla technologii </w:t>
      </w:r>
      <w:proofErr w:type="spellStart"/>
      <w:r w:rsidRPr="00445FF3">
        <w:rPr>
          <w:rFonts w:ascii="Arial" w:hAnsi="Arial" w:cs="Arial"/>
        </w:rPr>
        <w:t>beamforming</w:t>
      </w:r>
      <w:proofErr w:type="spellEnd"/>
      <w:r w:rsidRPr="00445FF3">
        <w:rPr>
          <w:rFonts w:ascii="Arial" w:hAnsi="Arial" w:cs="Arial"/>
        </w:rPr>
        <w:t xml:space="preserve"> 802.11ac </w:t>
      </w:r>
      <w:proofErr w:type="spellStart"/>
      <w:r w:rsidRPr="00445FF3">
        <w:rPr>
          <w:rFonts w:ascii="Arial" w:hAnsi="Arial" w:cs="Arial"/>
        </w:rPr>
        <w:t>TxBF</w:t>
      </w:r>
      <w:proofErr w:type="spellEnd"/>
      <w:r w:rsidRPr="00445FF3">
        <w:rPr>
          <w:rFonts w:ascii="Arial" w:hAnsi="Arial" w:cs="Arial"/>
        </w:rPr>
        <w:t>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Anteny wbudowane i zintegrowane z punktem dostępowym z wzmocnieniem minimum 3 </w:t>
      </w:r>
      <w:proofErr w:type="spellStart"/>
      <w:r w:rsidRPr="00445FF3">
        <w:rPr>
          <w:rFonts w:ascii="Arial" w:hAnsi="Arial" w:cs="Arial"/>
        </w:rPr>
        <w:t>dBi</w:t>
      </w:r>
      <w:proofErr w:type="spellEnd"/>
      <w:r w:rsidRPr="00445FF3">
        <w:rPr>
          <w:rFonts w:ascii="Arial" w:hAnsi="Arial" w:cs="Arial"/>
        </w:rPr>
        <w:t xml:space="preserve"> dla 2.4 GHz oraz 5 GHz. Anteny muszą być antenami </w:t>
      </w:r>
      <w:r w:rsidRPr="00445FF3">
        <w:rPr>
          <w:rFonts w:ascii="Arial" w:hAnsi="Arial" w:cs="Arial"/>
        </w:rPr>
        <w:lastRenderedPageBreak/>
        <w:t>wieloelementowymi i muszą posiadać minimum 60 wzorców/kombinacji dla każdego z pasm (2.4GHz i 5GHz).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Urządzenie musi wspierać łagodzenie interferencji.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Minimalna czułość odbiornika -100dBm dla dowolnej prędkości w paśmie 2.4GHz lub 5GHz.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Obsługa </w:t>
      </w:r>
      <w:proofErr w:type="spellStart"/>
      <w:r w:rsidRPr="00445FF3">
        <w:rPr>
          <w:rFonts w:ascii="Arial" w:hAnsi="Arial" w:cs="Arial"/>
        </w:rPr>
        <w:t>PoE</w:t>
      </w:r>
      <w:proofErr w:type="spellEnd"/>
      <w:r w:rsidRPr="00445FF3">
        <w:rPr>
          <w:rFonts w:ascii="Arial" w:hAnsi="Arial" w:cs="Arial"/>
        </w:rPr>
        <w:t xml:space="preserve"> (IEEE 802.3af). Przy pracy na </w:t>
      </w:r>
      <w:proofErr w:type="spellStart"/>
      <w:r w:rsidRPr="00445FF3">
        <w:rPr>
          <w:rFonts w:ascii="Arial" w:hAnsi="Arial" w:cs="Arial"/>
        </w:rPr>
        <w:t>PoE</w:t>
      </w:r>
      <w:proofErr w:type="spellEnd"/>
      <w:r w:rsidRPr="00445FF3">
        <w:rPr>
          <w:rFonts w:ascii="Arial" w:hAnsi="Arial" w:cs="Arial"/>
        </w:rPr>
        <w:t xml:space="preserve"> urządzenie musi pracować z pełnymi parametrami radiowymi i systemowymi.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Nie mniej niż 16 jawnych BSSID z własną polityką dostępu i regułami </w:t>
      </w:r>
      <w:proofErr w:type="spellStart"/>
      <w:r w:rsidRPr="00445FF3">
        <w:rPr>
          <w:rFonts w:ascii="Arial" w:hAnsi="Arial" w:cs="Arial"/>
        </w:rPr>
        <w:t>QoS</w:t>
      </w:r>
      <w:proofErr w:type="spellEnd"/>
      <w:r w:rsidRPr="00445FF3">
        <w:rPr>
          <w:rFonts w:ascii="Arial" w:hAnsi="Arial" w:cs="Arial"/>
        </w:rPr>
        <w:t>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Wymagane minimum 4 kolejki </w:t>
      </w:r>
      <w:proofErr w:type="spellStart"/>
      <w:r w:rsidRPr="00445FF3">
        <w:rPr>
          <w:rFonts w:ascii="Arial" w:hAnsi="Arial" w:cs="Arial"/>
        </w:rPr>
        <w:t>QoS</w:t>
      </w:r>
      <w:proofErr w:type="spellEnd"/>
      <w:r w:rsidRPr="00445FF3">
        <w:rPr>
          <w:rFonts w:ascii="Arial" w:hAnsi="Arial" w:cs="Arial"/>
        </w:rPr>
        <w:t xml:space="preserve"> per stacja kliencka i wsparcie standardu 802.11e/WMM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Obsługa funkcji podpowiadania klientom aby przełączali się na pasmo 5GHz z pasma 2,4GHz.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Obsługa </w:t>
      </w:r>
      <w:proofErr w:type="spellStart"/>
      <w:r w:rsidRPr="00445FF3">
        <w:rPr>
          <w:rFonts w:ascii="Arial" w:hAnsi="Arial" w:cs="Arial"/>
        </w:rPr>
        <w:t>roamingu</w:t>
      </w:r>
      <w:proofErr w:type="spellEnd"/>
      <w:r w:rsidRPr="00445FF3">
        <w:rPr>
          <w:rFonts w:ascii="Arial" w:hAnsi="Arial" w:cs="Arial"/>
        </w:rPr>
        <w:t xml:space="preserve"> w ramach całego systemu dla wszystkich podłączonych klientów.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Obsługa standardu Voice </w:t>
      </w:r>
      <w:proofErr w:type="spellStart"/>
      <w:r w:rsidRPr="00445FF3">
        <w:rPr>
          <w:rFonts w:ascii="Arial" w:hAnsi="Arial" w:cs="Arial"/>
        </w:rPr>
        <w:t>over</w:t>
      </w:r>
      <w:proofErr w:type="spellEnd"/>
      <w:r w:rsidRPr="00445FF3">
        <w:rPr>
          <w:rFonts w:ascii="Arial" w:hAnsi="Arial" w:cs="Arial"/>
        </w:rPr>
        <w:t xml:space="preserve"> Wireless LAN, obsługa nie mniej niż 28 klientów Voice jednocześnie.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Obsługiwane protokoły / standardy zabezpieczeń: WEP/WPAPSK/WPA-TKIP/WPA2-AES/802.11i/WPA3.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Obsługa autentykacji 802.1x dla portu Ethernet: tryb suplikanta i </w:t>
      </w:r>
      <w:proofErr w:type="spellStart"/>
      <w:r w:rsidRPr="00445FF3">
        <w:rPr>
          <w:rFonts w:ascii="Arial" w:hAnsi="Arial" w:cs="Arial"/>
        </w:rPr>
        <w:t>autentykatora</w:t>
      </w:r>
      <w:proofErr w:type="spellEnd"/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Kanały pracy: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445FF3">
        <w:rPr>
          <w:rFonts w:ascii="Arial" w:hAnsi="Arial" w:cs="Arial"/>
          <w:lang w:val="en-US"/>
        </w:rPr>
        <w:t xml:space="preserve">IEEE 802.11n: 2.4 – 2.484 GHz </w:t>
      </w:r>
      <w:proofErr w:type="spellStart"/>
      <w:r w:rsidRPr="00445FF3">
        <w:rPr>
          <w:rFonts w:ascii="Arial" w:hAnsi="Arial" w:cs="Arial"/>
          <w:lang w:val="en-US"/>
        </w:rPr>
        <w:t>i</w:t>
      </w:r>
      <w:proofErr w:type="spellEnd"/>
      <w:r w:rsidRPr="00445FF3">
        <w:rPr>
          <w:rFonts w:ascii="Arial" w:hAnsi="Arial" w:cs="Arial"/>
          <w:lang w:val="en-US"/>
        </w:rPr>
        <w:t xml:space="preserve"> 5.15 – 5.85 GHz,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IEEE 802.11a: 5.15 – 5.85 GHz,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IEEE 802.11b: 2.4 – 2.484 GHz.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Obsługiwana szybkość transmisji: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802.11ax: 4 to 1774 </w:t>
      </w:r>
      <w:proofErr w:type="spellStart"/>
      <w:r w:rsidRPr="00445FF3">
        <w:rPr>
          <w:rFonts w:ascii="Arial" w:hAnsi="Arial" w:cs="Arial"/>
        </w:rPr>
        <w:t>Mbps</w:t>
      </w:r>
      <w:proofErr w:type="spellEnd"/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>802.11ac: 6.5 - 867Mbps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>802.11n: 6.5Mbps – 300Mbps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>802.11a: 54, 48, 36, 24, 18, 12, 9, 6Mbps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802.11b: 11, 5.5, 2, 1 </w:t>
      </w:r>
      <w:proofErr w:type="spellStart"/>
      <w:r w:rsidRPr="00445FF3">
        <w:rPr>
          <w:rFonts w:ascii="Arial" w:hAnsi="Arial" w:cs="Arial"/>
        </w:rPr>
        <w:t>Mbps</w:t>
      </w:r>
      <w:proofErr w:type="spellEnd"/>
      <w:r w:rsidRPr="00445FF3">
        <w:rPr>
          <w:rFonts w:ascii="Arial" w:hAnsi="Arial" w:cs="Arial"/>
        </w:rPr>
        <w:t xml:space="preserve"> 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802.11g: 54, 48, 36, 24, 18, 12, 9, 6 </w:t>
      </w:r>
      <w:proofErr w:type="spellStart"/>
      <w:r w:rsidRPr="00445FF3">
        <w:rPr>
          <w:rFonts w:ascii="Arial" w:hAnsi="Arial" w:cs="Arial"/>
        </w:rPr>
        <w:t>Mbps</w:t>
      </w:r>
      <w:proofErr w:type="spellEnd"/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Obsługa kanałów radiowych 20MHz, 40MHz i 80MHz </w:t>
      </w:r>
      <w:bookmarkStart w:id="0" w:name="_GoBack"/>
      <w:bookmarkEnd w:id="0"/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Charakterystyka fizyczna punktów dostępowych: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lastRenderedPageBreak/>
        <w:t xml:space="preserve">Zasilanie poprzez </w:t>
      </w:r>
      <w:proofErr w:type="spellStart"/>
      <w:r w:rsidRPr="00445FF3">
        <w:rPr>
          <w:rFonts w:ascii="Arial" w:hAnsi="Arial" w:cs="Arial"/>
        </w:rPr>
        <w:t>PoE</w:t>
      </w:r>
      <w:proofErr w:type="spellEnd"/>
      <w:r w:rsidRPr="00445FF3">
        <w:rPr>
          <w:rFonts w:ascii="Arial" w:hAnsi="Arial" w:cs="Arial"/>
        </w:rPr>
        <w:t>,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Wyposażony w port RJ-45, auto MDI/MDI-X z możliwością zasilania </w:t>
      </w:r>
      <w:proofErr w:type="spellStart"/>
      <w:r w:rsidRPr="00445FF3">
        <w:rPr>
          <w:rFonts w:ascii="Arial" w:hAnsi="Arial" w:cs="Arial"/>
        </w:rPr>
        <w:t>PoE</w:t>
      </w:r>
      <w:proofErr w:type="spellEnd"/>
      <w:r w:rsidRPr="00445FF3">
        <w:rPr>
          <w:rFonts w:ascii="Arial" w:hAnsi="Arial" w:cs="Arial"/>
        </w:rPr>
        <w:t>, auto-</w:t>
      </w:r>
      <w:proofErr w:type="spellStart"/>
      <w:r w:rsidRPr="00445FF3">
        <w:rPr>
          <w:rFonts w:ascii="Arial" w:hAnsi="Arial" w:cs="Arial"/>
        </w:rPr>
        <w:t>sensing</w:t>
      </w:r>
      <w:proofErr w:type="spellEnd"/>
      <w:r w:rsidRPr="00445FF3">
        <w:rPr>
          <w:rFonts w:ascii="Arial" w:hAnsi="Arial" w:cs="Arial"/>
        </w:rPr>
        <w:t xml:space="preserve"> 10/100/1000mbps,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Masa urządzenia nie większa niż 1,1 kg,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Praca w temperaturze -20 – 65 °C, wilgotności roboczej nie niższej niż 95%, bez kondensacji,</w:t>
      </w:r>
    </w:p>
    <w:p w:rsidR="00445FF3" w:rsidRPr="00445FF3" w:rsidRDefault="00445FF3" w:rsidP="00445FF3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Wyposażone w gniazdo bezpieczeństwa umożliwiające zamontowanie linki bezpieczeństwa zabezpieczającej urządzenia przed kradzieżą.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Zgodność ze standardem VLAN 802.1q.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Do każdego AP wymagane jest dostarczenie licencji do kontrolera WLAN.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Oferowane urządzenia muszą być fabrycznie nowe, pochodzące z autoryzowanej sieci sprzedaży – oficjalnego kanału sprzedaży na rynek EU.</w:t>
      </w:r>
    </w:p>
    <w:p w:rsidR="00445FF3" w:rsidRPr="00445FF3" w:rsidRDefault="00445FF3" w:rsidP="00445FF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Wymagane jest, aby </w:t>
      </w:r>
      <w:proofErr w:type="spellStart"/>
      <w:r w:rsidRPr="00445FF3">
        <w:rPr>
          <w:rFonts w:ascii="Arial" w:hAnsi="Arial" w:cs="Arial"/>
        </w:rPr>
        <w:t>access</w:t>
      </w:r>
      <w:proofErr w:type="spellEnd"/>
      <w:r w:rsidRPr="00445FF3">
        <w:rPr>
          <w:rFonts w:ascii="Arial" w:hAnsi="Arial" w:cs="Arial"/>
        </w:rPr>
        <w:t>-pointy posiadały gwarancję przez okres co najmniej 60 miesięcy z zachowaniem poniższych warunków:</w:t>
      </w:r>
    </w:p>
    <w:p w:rsidR="00445FF3" w:rsidRPr="00445FF3" w:rsidRDefault="00445FF3" w:rsidP="00445FF3">
      <w:pPr>
        <w:pStyle w:val="Akapitzlist"/>
        <w:spacing w:line="360" w:lineRule="auto"/>
        <w:ind w:left="1418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a. bezpłatne aktualizacje </w:t>
      </w:r>
      <w:proofErr w:type="spellStart"/>
      <w:r w:rsidRPr="00445FF3">
        <w:rPr>
          <w:rFonts w:ascii="Arial" w:hAnsi="Arial" w:cs="Arial"/>
        </w:rPr>
        <w:t>firmware</w:t>
      </w:r>
      <w:proofErr w:type="spellEnd"/>
    </w:p>
    <w:p w:rsidR="00445FF3" w:rsidRPr="00445FF3" w:rsidRDefault="00445FF3" w:rsidP="00445FF3">
      <w:pPr>
        <w:pStyle w:val="Akapitzlist"/>
        <w:spacing w:line="360" w:lineRule="auto"/>
        <w:ind w:left="1418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b. wymianę uszkodzonego komponentu z wysyłką następnego dnia roboczego od uznania awarii</w:t>
      </w:r>
    </w:p>
    <w:p w:rsidR="00445FF3" w:rsidRPr="00445FF3" w:rsidRDefault="00445FF3" w:rsidP="00445FF3">
      <w:pPr>
        <w:pStyle w:val="Akapitzlist"/>
        <w:spacing w:line="360" w:lineRule="auto"/>
        <w:ind w:left="1418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>c. dostęp do bazy wiedzy producenta</w:t>
      </w:r>
    </w:p>
    <w:p w:rsidR="00445FF3" w:rsidRPr="00445FF3" w:rsidRDefault="00445FF3" w:rsidP="00445FF3">
      <w:pPr>
        <w:pStyle w:val="Akapitzlist"/>
        <w:spacing w:line="360" w:lineRule="auto"/>
        <w:ind w:left="1418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d. dostęp do TAC producenta (otwieranie tzw. </w:t>
      </w:r>
      <w:proofErr w:type="spellStart"/>
      <w:r w:rsidRPr="00445FF3">
        <w:rPr>
          <w:rFonts w:ascii="Arial" w:hAnsi="Arial" w:cs="Arial"/>
        </w:rPr>
        <w:t>case’ów</w:t>
      </w:r>
      <w:proofErr w:type="spellEnd"/>
      <w:r w:rsidRPr="00445FF3">
        <w:rPr>
          <w:rFonts w:ascii="Arial" w:hAnsi="Arial" w:cs="Arial"/>
        </w:rPr>
        <w:t xml:space="preserve"> przez partnera serwisowego) – brak limitu otwierania zgłoszeń w przypadku podejrzenia możliwości błędu w oprogramowaniu/hardware</w:t>
      </w:r>
    </w:p>
    <w:p w:rsidR="009D526C" w:rsidRPr="00440656" w:rsidRDefault="00445FF3" w:rsidP="00440656">
      <w:pPr>
        <w:pStyle w:val="Akapitzlist"/>
        <w:spacing w:line="360" w:lineRule="auto"/>
        <w:ind w:left="1418"/>
        <w:jc w:val="both"/>
        <w:rPr>
          <w:rFonts w:ascii="Arial" w:hAnsi="Arial" w:cs="Arial"/>
        </w:rPr>
      </w:pPr>
      <w:r w:rsidRPr="00445FF3">
        <w:rPr>
          <w:rFonts w:ascii="Arial" w:hAnsi="Arial" w:cs="Arial"/>
        </w:rPr>
        <w:t xml:space="preserve">e. realizacja serwisu w porozumieniu z producentem – tzw. Partner </w:t>
      </w:r>
      <w:proofErr w:type="spellStart"/>
      <w:r w:rsidRPr="00445FF3">
        <w:rPr>
          <w:rFonts w:ascii="Arial" w:hAnsi="Arial" w:cs="Arial"/>
        </w:rPr>
        <w:t>Support</w:t>
      </w:r>
      <w:proofErr w:type="spellEnd"/>
      <w:r w:rsidRPr="00445FF3">
        <w:rPr>
          <w:rFonts w:ascii="Arial" w:hAnsi="Arial" w:cs="Arial"/>
        </w:rPr>
        <w:t>.</w:t>
      </w:r>
    </w:p>
    <w:sectPr w:rsidR="009D526C" w:rsidRPr="00440656" w:rsidSect="00440656">
      <w:headerReference w:type="default" r:id="rId7"/>
      <w:pgSz w:w="11906" w:h="16838"/>
      <w:pgMar w:top="187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2A9" w:rsidRDefault="002F12A9" w:rsidP="00440656">
      <w:r>
        <w:separator/>
      </w:r>
    </w:p>
  </w:endnote>
  <w:endnote w:type="continuationSeparator" w:id="0">
    <w:p w:rsidR="002F12A9" w:rsidRDefault="002F12A9" w:rsidP="0044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2A9" w:rsidRDefault="002F12A9" w:rsidP="00440656">
      <w:r>
        <w:separator/>
      </w:r>
    </w:p>
  </w:footnote>
  <w:footnote w:type="continuationSeparator" w:id="0">
    <w:p w:rsidR="002F12A9" w:rsidRDefault="002F12A9" w:rsidP="00440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656" w:rsidRDefault="002772D3">
    <w:pPr>
      <w:pStyle w:val="Nagwek"/>
    </w:pPr>
    <w:r>
      <w:rPr>
        <w:noProof/>
        <w:lang w:eastAsia="pl-PL"/>
      </w:rPr>
      <w:drawing>
        <wp:inline distT="0" distB="0" distL="0" distR="0">
          <wp:extent cx="5759450" cy="942455"/>
          <wp:effectExtent l="0" t="0" r="0" b="0"/>
          <wp:docPr id="7" name="Obraz 7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97FAE"/>
    <w:multiLevelType w:val="multilevel"/>
    <w:tmpl w:val="17FC9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F3"/>
    <w:rsid w:val="002772D3"/>
    <w:rsid w:val="002F12A9"/>
    <w:rsid w:val="00440656"/>
    <w:rsid w:val="00445FF3"/>
    <w:rsid w:val="0081430D"/>
    <w:rsid w:val="00902626"/>
    <w:rsid w:val="009D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092490"/>
  <w15:chartTrackingRefBased/>
  <w15:docId w15:val="{F6CD3143-F398-4219-BB1F-D4E4367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F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45FF3"/>
    <w:pPr>
      <w:spacing w:after="200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5F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FF3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40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65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0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65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440656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2023-07-20T11:38:00Z</cp:lastPrinted>
  <dcterms:created xsi:type="dcterms:W3CDTF">2023-07-20T11:38:00Z</dcterms:created>
  <dcterms:modified xsi:type="dcterms:W3CDTF">2023-07-20T11:38:00Z</dcterms:modified>
</cp:coreProperties>
</file>