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FBA630" w14:textId="23FC6D6D" w:rsidR="00FA253F" w:rsidRPr="00FA253F" w:rsidRDefault="00FA253F" w:rsidP="00FA253F">
      <w:pPr>
        <w:spacing w:after="0" w:line="360" w:lineRule="auto"/>
        <w:jc w:val="center"/>
        <w:rPr>
          <w:rFonts w:ascii="Arial" w:hAnsi="Arial" w:cs="Arial"/>
          <w:b/>
          <w:sz w:val="24"/>
          <w:szCs w:val="24"/>
        </w:rPr>
      </w:pPr>
      <w:bookmarkStart w:id="0" w:name="_GoBack"/>
      <w:bookmarkEnd w:id="0"/>
      <w:r w:rsidRPr="00FA253F">
        <w:rPr>
          <w:rFonts w:ascii="Arial" w:hAnsi="Arial" w:cs="Arial"/>
          <w:b/>
          <w:sz w:val="24"/>
          <w:szCs w:val="24"/>
        </w:rPr>
        <w:t>Załącznik nr 1 – Opis przedmiotu zamówienia (OPZ)</w:t>
      </w:r>
    </w:p>
    <w:p w14:paraId="1128D43B" w14:textId="2E0AFB34" w:rsidR="00F03FBE" w:rsidRPr="00FA253F" w:rsidRDefault="00560CB8" w:rsidP="00FA253F">
      <w:pPr>
        <w:spacing w:after="0" w:line="360" w:lineRule="auto"/>
        <w:rPr>
          <w:rFonts w:ascii="Arial" w:hAnsi="Arial" w:cs="Arial"/>
          <w:sz w:val="24"/>
          <w:szCs w:val="24"/>
        </w:rPr>
      </w:pPr>
      <w:r w:rsidRPr="00FA253F">
        <w:rPr>
          <w:rFonts w:ascii="Arial" w:hAnsi="Arial" w:cs="Arial"/>
          <w:b/>
          <w:sz w:val="24"/>
          <w:szCs w:val="24"/>
        </w:rPr>
        <w:t>P</w:t>
      </w:r>
      <w:r w:rsidR="00496F00" w:rsidRPr="00FA253F">
        <w:rPr>
          <w:rFonts w:ascii="Arial" w:hAnsi="Arial" w:cs="Arial"/>
          <w:b/>
          <w:sz w:val="24"/>
          <w:szCs w:val="24"/>
        </w:rPr>
        <w:t>rzełącznik</w:t>
      </w:r>
      <w:r w:rsidR="001D0853" w:rsidRPr="00FA253F">
        <w:rPr>
          <w:rFonts w:ascii="Arial" w:hAnsi="Arial" w:cs="Arial"/>
          <w:b/>
          <w:sz w:val="24"/>
          <w:szCs w:val="24"/>
        </w:rPr>
        <w:t xml:space="preserve"> sieciowy</w:t>
      </w:r>
      <w:r w:rsidR="00496F00" w:rsidRPr="00FA253F">
        <w:rPr>
          <w:rFonts w:ascii="Arial" w:hAnsi="Arial" w:cs="Arial"/>
          <w:b/>
          <w:sz w:val="24"/>
          <w:szCs w:val="24"/>
        </w:rPr>
        <w:t xml:space="preserve"> szkieletowy IP/MPLS</w:t>
      </w:r>
      <w:r w:rsidR="00496F00" w:rsidRPr="00FA253F">
        <w:rPr>
          <w:rFonts w:ascii="Arial" w:hAnsi="Arial" w:cs="Arial"/>
          <w:b/>
          <w:bCs/>
          <w:sz w:val="24"/>
          <w:szCs w:val="24"/>
        </w:rPr>
        <w:t xml:space="preserve"> </w:t>
      </w:r>
      <w:r w:rsidR="002A58DA" w:rsidRPr="00FA253F">
        <w:rPr>
          <w:rFonts w:ascii="Arial" w:hAnsi="Arial" w:cs="Arial"/>
          <w:b/>
          <w:bCs/>
          <w:sz w:val="24"/>
          <w:szCs w:val="24"/>
        </w:rPr>
        <w:t xml:space="preserve">(TYP A) </w:t>
      </w:r>
      <w:r w:rsidR="00496F00" w:rsidRPr="00FA253F">
        <w:rPr>
          <w:rFonts w:ascii="Arial" w:hAnsi="Arial" w:cs="Arial"/>
          <w:b/>
          <w:bCs/>
          <w:sz w:val="24"/>
          <w:szCs w:val="24"/>
        </w:rPr>
        <w:t>– 2 sztuki, każda o minimalnych parametrach opisanych poniżej</w:t>
      </w:r>
    </w:p>
    <w:p w14:paraId="6662A4A3" w14:textId="77777777"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Przełącznik musi być dedykowanym urządzeniem sieciowym o wysokości 1U przystosowanym do montowania w szafie rack 19 cali, wyposażonym w wymienne w trakcie pracy zasilacze oraz wentylatory. Urządzenie musi umożliwiać pracę przy wykorzystaniu zasilaczy typu AC (prąd zmienny od 100V do 240V) lub zasilaczy typu DC (prąd stały od -40V do -72V).</w:t>
      </w:r>
    </w:p>
    <w:p w14:paraId="7152ECCF" w14:textId="5A5E4802"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Przełącznik musi posiadać możliwość wyposażenia w nadmiarowy zasilacz w celu uzyskania redundancji zasilania 1:1.</w:t>
      </w:r>
    </w:p>
    <w:p w14:paraId="6DFD4CC4" w14:textId="72BD1782" w:rsidR="00BB3ED8" w:rsidRPr="00FA253F" w:rsidRDefault="00BB3ED8"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 xml:space="preserve">Kierunek przepływu powietrza w urządzeniu </w:t>
      </w:r>
      <w:r w:rsidR="00D52B20" w:rsidRPr="00FA253F">
        <w:rPr>
          <w:rFonts w:ascii="Arial" w:hAnsi="Arial" w:cs="Arial"/>
          <w:sz w:val="24"/>
          <w:szCs w:val="24"/>
        </w:rPr>
        <w:t>front-to-back.</w:t>
      </w:r>
    </w:p>
    <w:p w14:paraId="1553BB1C" w14:textId="7EC22BBD" w:rsidR="00F03FBE" w:rsidRPr="00FA253F" w:rsidRDefault="009D0BDF"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Zarządzanie i konfiguracja p</w:t>
      </w:r>
      <w:r w:rsidR="00496F00" w:rsidRPr="00FA253F">
        <w:rPr>
          <w:rFonts w:ascii="Arial" w:hAnsi="Arial" w:cs="Arial"/>
          <w:sz w:val="24"/>
          <w:szCs w:val="24"/>
        </w:rPr>
        <w:t>rzełącznika przez administratorów musi być realizowana przez moduł kontrolny. System operacyjny Przełącznika musi być instalowany i uruchamiany na module kontrolnym. Moduł kontrolny musi odpowiadać ze sterowanie i monitorowanie pracy komponentów urządzenia. Ruch tranzytowy u</w:t>
      </w:r>
      <w:r w:rsidRPr="00FA253F">
        <w:rPr>
          <w:rFonts w:ascii="Arial" w:hAnsi="Arial" w:cs="Arial"/>
          <w:sz w:val="24"/>
          <w:szCs w:val="24"/>
        </w:rPr>
        <w:t>żytkowników przechodzący przez p</w:t>
      </w:r>
      <w:r w:rsidR="00496F00" w:rsidRPr="00FA253F">
        <w:rPr>
          <w:rFonts w:ascii="Arial" w:hAnsi="Arial" w:cs="Arial"/>
          <w:sz w:val="24"/>
          <w:szCs w:val="24"/>
        </w:rPr>
        <w:t>rzełącznik nie może być przesyłany przez moduł kontrolny. Moduł kontrolny musi być wyposażony w co najmniej 32 GB pamięci RAM oraz dwa dyski SSD o pojemności nie mniejszej niż 100GB każdy. Urządzenie musi posiadać slot USB przeznaczony do podłączenia dodatkowego nośnika danych. Musi być dostępna opcja uruchomienia systemu operacyjnego Przełącznika bezpośrednio z nośnika danych podłączonego do slotu USB.</w:t>
      </w:r>
    </w:p>
    <w:p w14:paraId="483DE907" w14:textId="69652F1F" w:rsidR="00F03FBE" w:rsidRPr="00FA253F" w:rsidRDefault="00396365"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System operacyjny p</w:t>
      </w:r>
      <w:r w:rsidR="00496F00" w:rsidRPr="00FA253F">
        <w:rPr>
          <w:rFonts w:ascii="Arial" w:hAnsi="Arial" w:cs="Arial"/>
          <w:sz w:val="24"/>
          <w:szCs w:val="24"/>
        </w:rPr>
        <w:t xml:space="preserve">rzełącznika musi posiadać budowę modułową (moduły muszą działać w odseparowanych obszarach pamięci) i zapewniać całkowitą separację płaszczyzny kontrolnej od płaszczyzny przetwarzania ruchu użytkowników, m.in. moduł routingu IP, odpowiedzialny za ustalenie tras routingu i zarządzanie urządzenia musi być oddzielony od modułu przekazywania pakietów, odpowiedzialnego za przełączanie pakietów pomiędzy segmentami sieci obsługiwanymi przez urządzenie. Obsługa ruchu tranzytowego użytkowników musi być realizowana sprzętowo. </w:t>
      </w:r>
    </w:p>
    <w:p w14:paraId="0A2192CE" w14:textId="77777777"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 xml:space="preserve">Przełącznik musi mieć przepustowość nie mniejszą niż 400 Gbps full duplex.  </w:t>
      </w:r>
    </w:p>
    <w:p w14:paraId="45099378" w14:textId="46C588AD"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lastRenderedPageBreak/>
        <w:t>Przełącznik musi obsługiwać interfejsy 10 Gigabit Ethernet, 40 Gigabit Ethernet oraz 100 Gigabit Ethernet.</w:t>
      </w:r>
      <w:r w:rsidRPr="00FA253F">
        <w:rPr>
          <w:rFonts w:ascii="Arial" w:hAnsi="Arial" w:cs="Arial"/>
          <w:sz w:val="24"/>
          <w:szCs w:val="24"/>
        </w:rPr>
        <w:br/>
        <w:t>Przełącznik musi być wyposażony w minimum cztery porty 100Gbps obsługujące wkładki QSFP28 oraz QSFP+ oraz w minimum 8 portów 10Gbps obsługujących wkładki SFP+.</w:t>
      </w:r>
      <w:r w:rsidR="002203BF" w:rsidRPr="00FA253F">
        <w:rPr>
          <w:rFonts w:ascii="Arial" w:hAnsi="Arial" w:cs="Arial"/>
          <w:sz w:val="24"/>
          <w:szCs w:val="24"/>
        </w:rPr>
        <w:t xml:space="preserve"> Urządzenie musi obsługiwać </w:t>
      </w:r>
      <w:r w:rsidR="006C6E85" w:rsidRPr="00FA253F">
        <w:rPr>
          <w:rFonts w:ascii="Arial" w:hAnsi="Arial" w:cs="Arial"/>
          <w:sz w:val="24"/>
          <w:szCs w:val="24"/>
        </w:rPr>
        <w:t xml:space="preserve">wyżej wymienione </w:t>
      </w:r>
      <w:r w:rsidR="002203BF" w:rsidRPr="00FA253F">
        <w:rPr>
          <w:rFonts w:ascii="Arial" w:hAnsi="Arial" w:cs="Arial"/>
          <w:sz w:val="24"/>
          <w:szCs w:val="24"/>
        </w:rPr>
        <w:t xml:space="preserve">moduły optyczne </w:t>
      </w:r>
      <w:r w:rsidR="00CE5863" w:rsidRPr="00FA253F">
        <w:rPr>
          <w:rFonts w:ascii="Arial" w:hAnsi="Arial" w:cs="Arial"/>
          <w:sz w:val="24"/>
          <w:szCs w:val="24"/>
        </w:rPr>
        <w:t>dowolnego producenta</w:t>
      </w:r>
      <w:r w:rsidR="002203BF" w:rsidRPr="00FA253F">
        <w:rPr>
          <w:rFonts w:ascii="Arial" w:hAnsi="Arial" w:cs="Arial"/>
          <w:sz w:val="24"/>
          <w:szCs w:val="24"/>
        </w:rPr>
        <w:t>.</w:t>
      </w:r>
    </w:p>
    <w:p w14:paraId="1B6B49FF" w14:textId="77777777"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Przełącznik musi obsługiwać ramki Jumbo o wielkości 9 KB.</w:t>
      </w:r>
    </w:p>
    <w:p w14:paraId="7E028896" w14:textId="77777777"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Urządzenie musi obsługiwać w sprzęcie routing IPv4, IPv6 oraz MPLS.</w:t>
      </w:r>
    </w:p>
    <w:p w14:paraId="423ED13D" w14:textId="77777777"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Urządzenie musi obsługiwać routing statyczny IPv4 oraz routing dynamiczny IPv4 – co najmniej dla protokołów routingu OSPF, IS-IS i BGP.</w:t>
      </w:r>
    </w:p>
    <w:p w14:paraId="7EEDD69D" w14:textId="77777777"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Urządzenie musi obsługiwać routing statyczny IPv6 oraz routing dynamiczny IPv6 – co najmniej dla protokołów routingu OSPF, IS-IS i BGP.</w:t>
      </w:r>
    </w:p>
    <w:p w14:paraId="054F53DA" w14:textId="77777777"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Przełącznik musi obsługiwać nie mniej niż 30 milionów wpisów IPv4 i IPv6 w tablicy routingu modułu kontrolnego (RIB) oraz 10 milionów wpisów IPv4 lub IPv6 w tablicach sprzętowych (FIB). Dodatkowo urządzenie musi obsługiwać nie mniej niż 1 milion wpisów MAC w tablicach sprzętowych.</w:t>
      </w:r>
    </w:p>
    <w:p w14:paraId="4F508DC3" w14:textId="77777777"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Przełącznik musi obsługiwać mechanizm tworzenia wirtualnych przełączników (instancji routingu, VRF) umożliwiających routing pakietów w oparciu o niezależne tablice routingu. Urządzenie musi posiadać możliwość obsługi nie mniej niż 6000 takich wirtualnych Przełączników. Jednocześnie system musi wspierać minimum 32 VRF sygnalizowanych przy pomocy MP-BGP.</w:t>
      </w:r>
    </w:p>
    <w:p w14:paraId="605B5B30" w14:textId="77777777"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Przełącznik musi obsługiwać protokół redundancji VRRP.</w:t>
      </w:r>
    </w:p>
    <w:p w14:paraId="2BC6291D" w14:textId="77777777"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Urządzenie musi być wyposażone w co najmniej 4GB pamięci na potrzeby buforowania pakietów.</w:t>
      </w:r>
    </w:p>
    <w:p w14:paraId="6C240DDB" w14:textId="77777777"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Mechanizm BFD musi być obsługiwany dla IPv4, IPv6 oraz MPLS LSP.</w:t>
      </w:r>
    </w:p>
    <w:p w14:paraId="3E347FF9" w14:textId="77777777"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Urządzenie musi posiadać funkcję filtrowania ruchu wchodzącego i wychodzącego z wszystkich interfejsów. Filtrowanie ruchu musi odbywać się co najmniej na podstawie adresów MAC, IPv4 i IPv6. Przełącznik musi obsługiwać nie mniej niż 256 000 wpisów w regułach filtrowania ruchu. Włączenie filtrowania nie może powodować degradacji wydajności urządzenia, tzn. musi być realizowane sprzętowo w specjalizowanych układach.</w:t>
      </w:r>
    </w:p>
    <w:p w14:paraId="7F1E3F35" w14:textId="77777777"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lastRenderedPageBreak/>
        <w:t>Przełącznik musi obsługiwać protokół SNMP w wersjach 1, 2 i 3. Przełącznik musi udostępniać za pomocą protokołu SNMP co najmniej 64 bitowe liczniki ramek i bajtów wysłanych i odebranych na poszczególnych interfejsach tranzytowych.  Przełącznik musi udostępniać za pomocą protokołu SNMP liczniki odebranych ramek zawierających błędy na poszczególnych interfejsach tranzytowych. Przełącznik musi udostępniać za pomocą CLI liczniki ramek wysłanych, odebranych oraz zawierających błędy na poszczególnych interfejsach tranzytowych. Ponadto po SNMP muszą być dostępne liczniki pakietów i bajtów przechwyconych przez poszczególne filtry ruchu (ACL).</w:t>
      </w:r>
    </w:p>
    <w:p w14:paraId="466BC698" w14:textId="77777777"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Przełącznik musi posiadać mechanizmy pozwalające na ograniczanie pasma dla ruchu wyjściowego i wejściowego na wszystkich interfejsach tranzytowych (z uwzględnieniem filtrów ruchu – ACL) oraz dla poszczególnych sieci VLAN.</w:t>
      </w:r>
    </w:p>
    <w:p w14:paraId="2FAE9641" w14:textId="77777777"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Przełącznik musi posiadać mechanizmy klasyfikowania ruchu, jego filtrowania oraz znakowania w oparciu co najmniej 802.1p, DSCP, ToS, MPLS EXP na wszystkich portach tranzytowych oraz dla poszczególnych sieci VLAN. Znakowanie pakietów musi być wykonywane również przez tri-colored policer.</w:t>
      </w:r>
    </w:p>
    <w:p w14:paraId="57C6F7B4" w14:textId="77777777"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Urządzenie musi wykonywać shaping lub policing ruchu per port.</w:t>
      </w:r>
    </w:p>
    <w:p w14:paraId="0719A829" w14:textId="77777777"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Urządzenie musi obsługiwać hierarchical QoS (HQoS).</w:t>
      </w:r>
    </w:p>
    <w:p w14:paraId="7E54D25B" w14:textId="77777777"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Przełącznik musi obsługiwać co najmniej 8 kolejek wyjściowych dla każdego portu tranzytowego. Urządzenie musi posiadać możliwość buforowania do 100 ms na wszystkich portach tranzytowych. Przełącznik musi obsługiwać mechanizm WRED.</w:t>
      </w:r>
    </w:p>
    <w:p w14:paraId="1716E65F" w14:textId="77777777"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Przełącznik musi mieć możliwość sprzętowego tunelowania ruchu przy pomocy protokołów GRE, IP-IP, MPLS oraz VXLAN.</w:t>
      </w:r>
    </w:p>
    <w:p w14:paraId="649080FC" w14:textId="77777777"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Przełącznik musi obsługiwać ruch IP multicast – w zakresie co najmniej protokołów IGMP (wersje 1, 2, 3) oraz PIM-SM.</w:t>
      </w:r>
    </w:p>
    <w:p w14:paraId="16B11F69" w14:textId="77777777"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Na wszystkich interfejsach przeznaczonych do obsługi ruchu tranzytowego urządzenia musi obsługiwać usługi MPLS – nie mniej niż L2 VPN, VPLS (oparte o LDP i BGP), EVPN oraz BGP/MPLS VPN (L3 VPN).</w:t>
      </w:r>
    </w:p>
    <w:p w14:paraId="240ECD26" w14:textId="77777777"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Przełącznik musi obsługiwać nie mniej niż 8000 sieci VPLS.</w:t>
      </w:r>
    </w:p>
    <w:p w14:paraId="66E0E1A6" w14:textId="77777777"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Dla L2 VPN oraz VPLS musi być obsługiwany multihoming.</w:t>
      </w:r>
    </w:p>
    <w:p w14:paraId="5C3D9C02" w14:textId="77777777"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lastRenderedPageBreak/>
        <w:t>Przełącznik musi obsługiwać protokół sygnalizacji RSVP-TE z mechanizmem Fast Reroute (node protection oraz link protection).</w:t>
      </w:r>
    </w:p>
    <w:p w14:paraId="4296D87C" w14:textId="77777777"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Przełącznik musi posiadać możliwość uruchomienia mechanizmu DiffServ Traffic Engineering w celu przekierowania ruchu należącego do różnych klas obsługi ruchu na różne ścieżki MPLS.</w:t>
      </w:r>
    </w:p>
    <w:p w14:paraId="2FFBEC22" w14:textId="77777777"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Przełącznik musi obsługiwać ruch multicast w IPVPN według draft-rosen-vpn-mcast-08.txt.</w:t>
      </w:r>
    </w:p>
    <w:p w14:paraId="6E9E9B15" w14:textId="77777777"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W ramach IPVPN ruch multicast musi być obsługiwany wykorzystując sygnalizację BGP oraz w zakresie transportu MPLS point-to-multipoint według draft-ietf-l3vpn-2547bis-mcast-bgp-03.txt, draft draft-ietf-l3vpn-2547bis-mcast-02.txt, Requirements for Multicast in Layer 3 Provider-Provisioned Virtual  Private Networks (PPVPNs) RFC4834 oraz draft-ietf-l3vpn-mvpn-considerations-01</w:t>
      </w:r>
    </w:p>
    <w:p w14:paraId="55B06073" w14:textId="77777777"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Urządzenie musi obsługiwać sieci VLAN zgodnie z IEEE 802.1Q. Urządzenie musi pozwalać na skonfigurowanie i uruchomienie nie mniej niż 4094 sieci VLAN jednocześnie.</w:t>
      </w:r>
    </w:p>
    <w:p w14:paraId="6A71044D" w14:textId="77777777"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Urządzenie musi obsługiwać mechanizm Q-in-Q włącznie z funkcją terminowania wewnętrznych sieci VLAN na interfejsach warstwy trzeciej.</w:t>
      </w:r>
    </w:p>
    <w:p w14:paraId="0CBEE6BA" w14:textId="77777777"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Urządzenie musi obsługiwać protokoły Spanning Tree – zgodnie z co najmniej IEEE 802.1d, 802.1w i 802.1s.</w:t>
      </w:r>
    </w:p>
    <w:p w14:paraId="12A61E80" w14:textId="77777777"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Ramki BPDU pomiędzy sieciami VLAN muszą być przenoszone przez urządzenie również w trybie MPLS/VPLS.</w:t>
      </w:r>
    </w:p>
    <w:p w14:paraId="09ECDF6F" w14:textId="77777777"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Urządzenie musi obsługiwać JFlow lub równoważne rozwiązanie.</w:t>
      </w:r>
    </w:p>
    <w:p w14:paraId="5F444B03" w14:textId="77777777"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Przełącznik musi być zarządzany poprzez tekstowy interfejs linii komend (CLI) dostępny po porcie konsoli, oraz protokół Telnet i SSH dostępny przez interfejs do zarządzania OOB out-of-band oraz dowolny interfejs tranzytowy. Przełącznik musi posiadać funkcję współpracy z zewnętrznymi serwerami AAA RADIUS (RFC 2138, RFC 2139) oraz TACACS+ (RFC 1492).</w:t>
      </w:r>
    </w:p>
    <w:p w14:paraId="59FE99F0" w14:textId="77777777"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Przełącznik musi posiadać funkcję ochrony modułu zarządzania przed atakami DoS.</w:t>
      </w:r>
    </w:p>
    <w:p w14:paraId="176482F4" w14:textId="65180E2E"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Pomoc techniczna oraz szkolenia z produktu muszą być dostępne w Polsce. Usługi te świadczone być muszą w języku polskim.</w:t>
      </w:r>
    </w:p>
    <w:p w14:paraId="66E4EE40" w14:textId="57BC9889" w:rsidR="00847FAB" w:rsidRPr="00FA253F" w:rsidRDefault="00847FAB"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lastRenderedPageBreak/>
        <w:t>Urządzenia muszą pochodzić z autoryzowanego kanału dystrybucji producenta przeznaczonego na teren Unii Europejskiej, a korzystanie przez Zamawiającego z dostarczonego produktu nie może stanowić naruszenia majątkowych praw autorskich osób trzecich. Zamawiający wymaga dostarczenia wraz z urządzeniami oświadczenia przedstawiciela producenta potwierdzającego ważność uprawnień gwarancyjnych na terenie Polski</w:t>
      </w:r>
    </w:p>
    <w:p w14:paraId="06007A4D" w14:textId="77777777" w:rsidR="00F03FBE" w:rsidRPr="00FA253F" w:rsidRDefault="00496F00" w:rsidP="00FA253F">
      <w:pPr>
        <w:pStyle w:val="Bezodstpw"/>
        <w:numPr>
          <w:ilvl w:val="0"/>
          <w:numId w:val="1"/>
        </w:numPr>
        <w:spacing w:line="360" w:lineRule="auto"/>
        <w:rPr>
          <w:rFonts w:ascii="Arial" w:hAnsi="Arial" w:cs="Arial"/>
          <w:sz w:val="24"/>
          <w:szCs w:val="24"/>
        </w:rPr>
      </w:pPr>
      <w:r w:rsidRPr="00FA253F">
        <w:rPr>
          <w:rFonts w:ascii="Arial" w:hAnsi="Arial" w:cs="Arial"/>
          <w:sz w:val="24"/>
          <w:szCs w:val="24"/>
        </w:rPr>
        <w:t xml:space="preserve">Wraz z urządzeniem wymagane jest dostarczenie opieki technicznej ważnej przez okres 60 miesięcy. Opieka musi zawierać wsparcie techniczne świadczone telefonicznie oraz pocztą elektroniczną przez producenta oraz autoryzowanego partnera serwisowego, wymianę uszkodzonego sprzętu w ciągu </w:t>
      </w:r>
      <w:r w:rsidR="00963849" w:rsidRPr="00FA253F">
        <w:rPr>
          <w:rFonts w:ascii="Arial" w:hAnsi="Arial" w:cs="Arial"/>
          <w:sz w:val="24"/>
          <w:szCs w:val="24"/>
        </w:rPr>
        <w:t>10</w:t>
      </w:r>
      <w:r w:rsidRPr="00FA253F">
        <w:rPr>
          <w:rFonts w:ascii="Arial" w:hAnsi="Arial" w:cs="Arial"/>
          <w:sz w:val="24"/>
          <w:szCs w:val="24"/>
        </w:rPr>
        <w:t xml:space="preserve"> dni</w:t>
      </w:r>
      <w:r w:rsidR="00963849" w:rsidRPr="00FA253F">
        <w:rPr>
          <w:rFonts w:ascii="Arial" w:hAnsi="Arial" w:cs="Arial"/>
          <w:sz w:val="24"/>
          <w:szCs w:val="24"/>
        </w:rPr>
        <w:t xml:space="preserve"> od momentu potwierdzenia usterki przez producenta</w:t>
      </w:r>
      <w:r w:rsidRPr="00FA253F">
        <w:rPr>
          <w:rFonts w:ascii="Arial" w:hAnsi="Arial" w:cs="Arial"/>
          <w:sz w:val="24"/>
          <w:szCs w:val="24"/>
        </w:rPr>
        <w:t>, dostęp do nowych wersji oprogramowania, a także dostęp do baz wiedzy, przewodników konfiguracyjnych i narzędzi diagnostycznych.</w:t>
      </w:r>
    </w:p>
    <w:p w14:paraId="5B607D2A" w14:textId="241401D8" w:rsidR="00F03FBE" w:rsidRPr="00FA253F" w:rsidRDefault="00F03FBE" w:rsidP="00FA253F">
      <w:pPr>
        <w:pStyle w:val="Bezodstpw"/>
        <w:spacing w:line="360" w:lineRule="auto"/>
        <w:rPr>
          <w:rFonts w:ascii="Arial" w:hAnsi="Arial" w:cs="Arial"/>
          <w:sz w:val="24"/>
          <w:szCs w:val="24"/>
        </w:rPr>
      </w:pPr>
    </w:p>
    <w:p w14:paraId="2E978DAB" w14:textId="254D240F" w:rsidR="005F2B0A" w:rsidRPr="00FA253F" w:rsidRDefault="005F2B0A" w:rsidP="00FA253F">
      <w:pPr>
        <w:pStyle w:val="Bezodstpw"/>
        <w:spacing w:line="360" w:lineRule="auto"/>
        <w:rPr>
          <w:rFonts w:ascii="Arial" w:hAnsi="Arial" w:cs="Arial"/>
          <w:sz w:val="24"/>
          <w:szCs w:val="24"/>
        </w:rPr>
      </w:pPr>
    </w:p>
    <w:p w14:paraId="6EB778F6" w14:textId="77777777" w:rsidR="005F2B0A" w:rsidRPr="00FA253F" w:rsidRDefault="005F2B0A" w:rsidP="00FA253F">
      <w:pPr>
        <w:spacing w:after="0" w:line="360" w:lineRule="auto"/>
        <w:rPr>
          <w:rFonts w:ascii="Arial" w:hAnsi="Arial" w:cs="Arial"/>
          <w:b/>
          <w:bCs/>
          <w:sz w:val="24"/>
          <w:szCs w:val="24"/>
        </w:rPr>
      </w:pPr>
      <w:r w:rsidRPr="00FA253F">
        <w:rPr>
          <w:rFonts w:ascii="Arial" w:hAnsi="Arial" w:cs="Arial"/>
          <w:b/>
          <w:bCs/>
          <w:sz w:val="24"/>
          <w:szCs w:val="24"/>
        </w:rPr>
        <w:br w:type="page"/>
      </w:r>
    </w:p>
    <w:p w14:paraId="53D29260" w14:textId="75E509D7" w:rsidR="005F2B0A" w:rsidRPr="00FA253F" w:rsidRDefault="005F2B0A" w:rsidP="00FA253F">
      <w:pPr>
        <w:spacing w:after="0" w:line="360" w:lineRule="auto"/>
        <w:rPr>
          <w:rFonts w:ascii="Arial" w:hAnsi="Arial" w:cs="Arial"/>
          <w:sz w:val="24"/>
          <w:szCs w:val="24"/>
        </w:rPr>
      </w:pPr>
      <w:r w:rsidRPr="00FA253F">
        <w:rPr>
          <w:rFonts w:ascii="Arial" w:hAnsi="Arial" w:cs="Arial"/>
          <w:b/>
          <w:bCs/>
          <w:sz w:val="24"/>
          <w:szCs w:val="24"/>
        </w:rPr>
        <w:lastRenderedPageBreak/>
        <w:t>Przełącznik sieciowy szkieletowy (TYP B) – 2 sztuki, każda o minimalnych parametrach opisanych poniżej</w:t>
      </w:r>
    </w:p>
    <w:p w14:paraId="50466057" w14:textId="77777777" w:rsidR="005F2B0A" w:rsidRPr="00FA253F" w:rsidRDefault="005F2B0A" w:rsidP="00FA253F">
      <w:pPr>
        <w:spacing w:after="0" w:line="360" w:lineRule="auto"/>
        <w:rPr>
          <w:rFonts w:ascii="Arial" w:hAnsi="Arial" w:cs="Arial"/>
          <w:sz w:val="24"/>
          <w:szCs w:val="24"/>
        </w:rPr>
      </w:pPr>
    </w:p>
    <w:p w14:paraId="36EABFEC" w14:textId="77777777" w:rsidR="005F2B0A" w:rsidRPr="00FA253F" w:rsidRDefault="005F2B0A" w:rsidP="00FA253F">
      <w:pPr>
        <w:numPr>
          <w:ilvl w:val="0"/>
          <w:numId w:val="3"/>
        </w:numPr>
        <w:spacing w:after="0" w:line="360" w:lineRule="auto"/>
        <w:rPr>
          <w:rFonts w:ascii="Arial" w:hAnsi="Arial" w:cs="Arial"/>
          <w:sz w:val="24"/>
          <w:szCs w:val="24"/>
        </w:rPr>
      </w:pPr>
      <w:r w:rsidRPr="00FA253F">
        <w:rPr>
          <w:rFonts w:ascii="Arial" w:hAnsi="Arial" w:cs="Arial"/>
          <w:sz w:val="24"/>
          <w:szCs w:val="24"/>
        </w:rPr>
        <w:t>Przełącznik musi być dedykowanym urządzeniem sieciowym o wysokości nie przekraczającej 2U przystosowanym do montowania w szafie rack 19 cali.</w:t>
      </w:r>
    </w:p>
    <w:p w14:paraId="66D1A42A" w14:textId="77777777" w:rsidR="005F2B0A" w:rsidRPr="00FA253F" w:rsidRDefault="005F2B0A" w:rsidP="00FA253F">
      <w:pPr>
        <w:numPr>
          <w:ilvl w:val="0"/>
          <w:numId w:val="3"/>
        </w:numPr>
        <w:spacing w:after="0" w:line="360" w:lineRule="auto"/>
        <w:rPr>
          <w:rFonts w:ascii="Arial" w:hAnsi="Arial" w:cs="Arial"/>
          <w:sz w:val="24"/>
          <w:szCs w:val="24"/>
        </w:rPr>
      </w:pPr>
      <w:r w:rsidRPr="00FA253F">
        <w:rPr>
          <w:rFonts w:ascii="Arial" w:hAnsi="Arial" w:cs="Arial"/>
          <w:sz w:val="24"/>
          <w:szCs w:val="24"/>
        </w:rPr>
        <w:t xml:space="preserve">Urządzenie musi posiadać 48 portów dostępowych umożliwiających obsługujące moduły optyczne SFP/SFP+/SFP28 (o przepustowościach 1Gbps / 10 Gbps / 25 Gbps). </w:t>
      </w:r>
    </w:p>
    <w:p w14:paraId="1393BA86" w14:textId="77777777" w:rsidR="005F2B0A" w:rsidRPr="00FA253F" w:rsidRDefault="005F2B0A" w:rsidP="00FA253F">
      <w:pPr>
        <w:numPr>
          <w:ilvl w:val="0"/>
          <w:numId w:val="3"/>
        </w:numPr>
        <w:spacing w:after="0" w:line="360" w:lineRule="auto"/>
        <w:rPr>
          <w:rFonts w:ascii="Arial" w:hAnsi="Arial" w:cs="Arial"/>
          <w:sz w:val="24"/>
          <w:szCs w:val="24"/>
        </w:rPr>
      </w:pPr>
      <w:r w:rsidRPr="00FA253F">
        <w:rPr>
          <w:rFonts w:ascii="Arial" w:hAnsi="Arial" w:cs="Arial"/>
          <w:sz w:val="24"/>
          <w:szCs w:val="24"/>
        </w:rPr>
        <w:t xml:space="preserve">Urządzenie musi posiadać 8 portów do podłączenia innych przełączników (ang. uplink), które muszą być niezależne od portów dostępowych, tzn. wykorzystanie portu typu uplink nie może powodować zmniejszenia ilości portów dostępowych. </w:t>
      </w:r>
    </w:p>
    <w:p w14:paraId="2567634C" w14:textId="77777777" w:rsidR="005F2B0A" w:rsidRPr="00FA253F" w:rsidRDefault="005F2B0A" w:rsidP="00FA253F">
      <w:pPr>
        <w:numPr>
          <w:ilvl w:val="0"/>
          <w:numId w:val="3"/>
        </w:numPr>
        <w:spacing w:after="0" w:line="360" w:lineRule="auto"/>
        <w:rPr>
          <w:rFonts w:ascii="Arial" w:hAnsi="Arial" w:cs="Arial"/>
          <w:sz w:val="24"/>
          <w:szCs w:val="24"/>
        </w:rPr>
      </w:pPr>
      <w:r w:rsidRPr="00FA253F">
        <w:rPr>
          <w:rFonts w:ascii="Arial" w:hAnsi="Arial" w:cs="Arial"/>
          <w:sz w:val="24"/>
          <w:szCs w:val="24"/>
        </w:rPr>
        <w:t>Wszystkie porty typu uplink muszą obsługiwać moduły optyczne QSFP+ oraz QSFP28 (o przepustowościach 40 Gbps oraz 100 Gbps) i kable typu DAC.</w:t>
      </w:r>
    </w:p>
    <w:p w14:paraId="0A59326E" w14:textId="77777777" w:rsidR="005F2B0A" w:rsidRPr="00FA253F" w:rsidRDefault="005F2B0A" w:rsidP="00FA253F">
      <w:pPr>
        <w:numPr>
          <w:ilvl w:val="0"/>
          <w:numId w:val="3"/>
        </w:numPr>
        <w:spacing w:after="0" w:line="360" w:lineRule="auto"/>
        <w:rPr>
          <w:rFonts w:ascii="Arial" w:hAnsi="Arial" w:cs="Arial"/>
          <w:sz w:val="24"/>
          <w:szCs w:val="24"/>
        </w:rPr>
      </w:pPr>
      <w:r w:rsidRPr="00FA253F">
        <w:rPr>
          <w:rFonts w:ascii="Arial" w:hAnsi="Arial" w:cs="Arial"/>
          <w:sz w:val="24"/>
          <w:szCs w:val="24"/>
        </w:rPr>
        <w:t>Wszystkie moduły optyczne w portach typu uplink muszą być aktywne i działać zgodnie z ich przeznaczeniem, jeżeli jest potrzebna licencja lub moduł, należy ją dostarczyć wraz urządzeniem. Liczba wymaganych portów nie może być osiągnięta przy użyciu kabli rozszywających, wszystkie porty muszą umożliwiać instalacje modułów optycznych o wymaganych minimalnych prędkościach.</w:t>
      </w:r>
    </w:p>
    <w:p w14:paraId="1AF054F2" w14:textId="77777777" w:rsidR="005F2B0A" w:rsidRPr="00FA253F" w:rsidRDefault="005F2B0A" w:rsidP="00FA253F">
      <w:pPr>
        <w:numPr>
          <w:ilvl w:val="0"/>
          <w:numId w:val="3"/>
        </w:numPr>
        <w:spacing w:after="0" w:line="360" w:lineRule="auto"/>
        <w:rPr>
          <w:rFonts w:ascii="Arial" w:hAnsi="Arial" w:cs="Arial"/>
          <w:sz w:val="24"/>
          <w:szCs w:val="24"/>
        </w:rPr>
      </w:pPr>
      <w:r w:rsidRPr="00FA253F">
        <w:rPr>
          <w:rFonts w:ascii="Arial" w:hAnsi="Arial" w:cs="Arial"/>
          <w:sz w:val="24"/>
          <w:szCs w:val="24"/>
        </w:rPr>
        <w:t>Wydajność przełączania w warstwie 2 nie może być niższa niż 2000 Mpps i 2 Tbps.</w:t>
      </w:r>
    </w:p>
    <w:p w14:paraId="10F7771F" w14:textId="77777777" w:rsidR="005F2B0A" w:rsidRPr="00FA253F" w:rsidRDefault="005F2B0A" w:rsidP="00FA253F">
      <w:pPr>
        <w:numPr>
          <w:ilvl w:val="0"/>
          <w:numId w:val="3"/>
        </w:numPr>
        <w:spacing w:after="0" w:line="360" w:lineRule="auto"/>
        <w:rPr>
          <w:rFonts w:ascii="Arial" w:hAnsi="Arial" w:cs="Arial"/>
          <w:sz w:val="24"/>
          <w:szCs w:val="24"/>
        </w:rPr>
      </w:pPr>
      <w:r w:rsidRPr="00FA253F">
        <w:rPr>
          <w:rFonts w:ascii="Arial" w:hAnsi="Arial" w:cs="Arial"/>
          <w:sz w:val="24"/>
          <w:szCs w:val="24"/>
        </w:rPr>
        <w:t>Urządzenie nie może obsługiwać mniej niż 98 000 adresów MAC.</w:t>
      </w:r>
    </w:p>
    <w:p w14:paraId="00A1A460" w14:textId="77777777" w:rsidR="005F2B0A" w:rsidRPr="00FA253F" w:rsidRDefault="005F2B0A" w:rsidP="00FA253F">
      <w:pPr>
        <w:numPr>
          <w:ilvl w:val="0"/>
          <w:numId w:val="3"/>
        </w:numPr>
        <w:spacing w:after="0" w:line="360" w:lineRule="auto"/>
        <w:rPr>
          <w:rFonts w:ascii="Arial" w:hAnsi="Arial" w:cs="Arial"/>
          <w:sz w:val="24"/>
          <w:szCs w:val="24"/>
        </w:rPr>
      </w:pPr>
      <w:r w:rsidRPr="00FA253F">
        <w:rPr>
          <w:rFonts w:ascii="Arial" w:hAnsi="Arial" w:cs="Arial"/>
          <w:sz w:val="24"/>
          <w:szCs w:val="24"/>
        </w:rPr>
        <w:t>Urządzenie musi być wyposażone w nie mniej niż 64 GB wbudowanej pamięci masowej (ang. storage) oraz co najmniej 16 GB pamięci DRAM.</w:t>
      </w:r>
    </w:p>
    <w:p w14:paraId="542BAE9F" w14:textId="77777777" w:rsidR="005F2B0A" w:rsidRPr="00FA253F" w:rsidRDefault="005F2B0A" w:rsidP="00FA253F">
      <w:pPr>
        <w:numPr>
          <w:ilvl w:val="0"/>
          <w:numId w:val="3"/>
        </w:numPr>
        <w:spacing w:after="0" w:line="360" w:lineRule="auto"/>
        <w:rPr>
          <w:rFonts w:ascii="Arial" w:hAnsi="Arial" w:cs="Arial"/>
          <w:sz w:val="24"/>
          <w:szCs w:val="24"/>
        </w:rPr>
      </w:pPr>
      <w:r w:rsidRPr="00FA253F">
        <w:rPr>
          <w:rFonts w:ascii="Arial" w:hAnsi="Arial" w:cs="Arial"/>
          <w:sz w:val="24"/>
          <w:szCs w:val="24"/>
        </w:rPr>
        <w:t xml:space="preserve">Urządzenie musi umożliwiać przechowywanie co najmniej dwóch wersji oprogramowania, i ma posiadać funkcjonalność szybkiego odtwarzania systemu wraz z przywracaniem zapisanej konfiguracji. </w:t>
      </w:r>
    </w:p>
    <w:p w14:paraId="2AD6E900" w14:textId="77777777" w:rsidR="005F2B0A" w:rsidRPr="00FA253F" w:rsidRDefault="005F2B0A" w:rsidP="00FA253F">
      <w:pPr>
        <w:numPr>
          <w:ilvl w:val="0"/>
          <w:numId w:val="3"/>
        </w:numPr>
        <w:spacing w:after="0" w:line="360" w:lineRule="auto"/>
        <w:rPr>
          <w:rFonts w:ascii="Arial" w:hAnsi="Arial" w:cs="Arial"/>
          <w:sz w:val="24"/>
          <w:szCs w:val="24"/>
        </w:rPr>
      </w:pPr>
      <w:r w:rsidRPr="00FA253F">
        <w:rPr>
          <w:rFonts w:ascii="Arial" w:hAnsi="Arial" w:cs="Arial"/>
          <w:sz w:val="24"/>
          <w:szCs w:val="24"/>
        </w:rPr>
        <w:t>Musi istnieć możliwość zaprogramowania restartu urządzenia po dokonanej aktualizacji w harmonogramie godzinowym.</w:t>
      </w:r>
    </w:p>
    <w:p w14:paraId="11B55EC6" w14:textId="77777777" w:rsidR="005F2B0A" w:rsidRPr="00FA253F" w:rsidRDefault="005F2B0A" w:rsidP="00FA253F">
      <w:pPr>
        <w:pStyle w:val="Akapitzlist"/>
        <w:numPr>
          <w:ilvl w:val="0"/>
          <w:numId w:val="3"/>
        </w:numPr>
        <w:spacing w:after="0" w:line="360" w:lineRule="auto"/>
        <w:rPr>
          <w:rFonts w:ascii="Arial" w:hAnsi="Arial" w:cs="Arial"/>
          <w:sz w:val="24"/>
          <w:szCs w:val="24"/>
        </w:rPr>
      </w:pPr>
      <w:r w:rsidRPr="00FA253F">
        <w:rPr>
          <w:rFonts w:ascii="Arial" w:hAnsi="Arial" w:cs="Arial"/>
          <w:sz w:val="24"/>
          <w:szCs w:val="24"/>
        </w:rPr>
        <w:t>Urządzenie musi być wyposażone w port konsoli do zarządzania oraz dedykowany interfejs Ethernet do zarządzania OOB (out-of-band).</w:t>
      </w:r>
    </w:p>
    <w:p w14:paraId="76018720" w14:textId="77777777" w:rsidR="005F2B0A" w:rsidRPr="00FA253F" w:rsidRDefault="005F2B0A" w:rsidP="00FA253F">
      <w:pPr>
        <w:pStyle w:val="Akapitzlist"/>
        <w:numPr>
          <w:ilvl w:val="0"/>
          <w:numId w:val="3"/>
        </w:numPr>
        <w:spacing w:after="0" w:line="360" w:lineRule="auto"/>
        <w:rPr>
          <w:rFonts w:ascii="Arial" w:hAnsi="Arial" w:cs="Arial"/>
          <w:sz w:val="24"/>
          <w:szCs w:val="24"/>
        </w:rPr>
      </w:pPr>
      <w:r w:rsidRPr="00FA253F">
        <w:rPr>
          <w:rFonts w:ascii="Arial" w:hAnsi="Arial" w:cs="Arial"/>
          <w:sz w:val="24"/>
          <w:szCs w:val="24"/>
        </w:rPr>
        <w:lastRenderedPageBreak/>
        <w:t>Urządzenie musi posiadać port USB 2.0 lub nowszy umożliwiający podłączenie zewnętrznej pamięci na pliki.</w:t>
      </w:r>
    </w:p>
    <w:p w14:paraId="33A9D57B" w14:textId="77777777" w:rsidR="005F2B0A" w:rsidRPr="00FA253F" w:rsidRDefault="005F2B0A" w:rsidP="00FA253F">
      <w:pPr>
        <w:pStyle w:val="Akapitzlist"/>
        <w:numPr>
          <w:ilvl w:val="0"/>
          <w:numId w:val="3"/>
        </w:numPr>
        <w:spacing w:after="0" w:line="360" w:lineRule="auto"/>
        <w:rPr>
          <w:rFonts w:ascii="Arial" w:hAnsi="Arial" w:cs="Arial"/>
          <w:sz w:val="24"/>
          <w:szCs w:val="24"/>
        </w:rPr>
      </w:pPr>
      <w:r w:rsidRPr="00FA253F">
        <w:rPr>
          <w:rFonts w:ascii="Arial" w:hAnsi="Arial" w:cs="Arial"/>
          <w:sz w:val="24"/>
          <w:szCs w:val="24"/>
        </w:rPr>
        <w:t>Zarządzanie urządzeniem musi odbywać się za pośrednictwem interfejsu linii komend (CLI) przez port konsoli, Telnet, SSH, a także za pośrednictwem interfejsu WWW.</w:t>
      </w:r>
    </w:p>
    <w:p w14:paraId="156F9718" w14:textId="77777777" w:rsidR="005F2B0A" w:rsidRPr="00FA253F" w:rsidRDefault="005F2B0A" w:rsidP="00FA253F">
      <w:pPr>
        <w:pStyle w:val="Akapitzlist"/>
        <w:numPr>
          <w:ilvl w:val="0"/>
          <w:numId w:val="3"/>
        </w:numPr>
        <w:spacing w:after="0" w:line="360" w:lineRule="auto"/>
        <w:rPr>
          <w:rFonts w:ascii="Arial" w:hAnsi="Arial" w:cs="Arial"/>
          <w:sz w:val="24"/>
          <w:szCs w:val="24"/>
        </w:rPr>
      </w:pPr>
      <w:r w:rsidRPr="00FA253F">
        <w:rPr>
          <w:rFonts w:ascii="Arial" w:hAnsi="Arial" w:cs="Arial"/>
          <w:sz w:val="24"/>
          <w:szCs w:val="24"/>
        </w:rPr>
        <w:t>Urządzenie musi obsługiwać zdalne uwierzytelnianie za pomocą protokołu RADIUS podczas uzyskiwania dostępu do interfejsu administratora.</w:t>
      </w:r>
    </w:p>
    <w:p w14:paraId="75042B2A" w14:textId="77777777" w:rsidR="005F2B0A" w:rsidRPr="00FA253F" w:rsidRDefault="005F2B0A" w:rsidP="00FA253F">
      <w:pPr>
        <w:pStyle w:val="Akapitzlist"/>
        <w:numPr>
          <w:ilvl w:val="0"/>
          <w:numId w:val="3"/>
        </w:numPr>
        <w:spacing w:after="0" w:line="360" w:lineRule="auto"/>
        <w:rPr>
          <w:rFonts w:ascii="Arial" w:hAnsi="Arial" w:cs="Arial"/>
          <w:sz w:val="24"/>
          <w:szCs w:val="24"/>
        </w:rPr>
      </w:pPr>
      <w:r w:rsidRPr="00FA253F">
        <w:rPr>
          <w:rFonts w:ascii="Arial" w:hAnsi="Arial" w:cs="Arial"/>
          <w:sz w:val="24"/>
          <w:szCs w:val="24"/>
        </w:rPr>
        <w:t>Urządzenie musi posiadać funkcjonalność klienta Telnet i SSH.</w:t>
      </w:r>
    </w:p>
    <w:p w14:paraId="3BF8D3FB" w14:textId="77777777" w:rsidR="005F2B0A" w:rsidRPr="00FA253F" w:rsidRDefault="005F2B0A" w:rsidP="00FA253F">
      <w:pPr>
        <w:pStyle w:val="Akapitzlist"/>
        <w:numPr>
          <w:ilvl w:val="0"/>
          <w:numId w:val="3"/>
        </w:numPr>
        <w:spacing w:after="0" w:line="360" w:lineRule="auto"/>
        <w:rPr>
          <w:rFonts w:ascii="Arial" w:hAnsi="Arial" w:cs="Arial"/>
          <w:sz w:val="24"/>
          <w:szCs w:val="24"/>
        </w:rPr>
      </w:pPr>
      <w:r w:rsidRPr="00FA253F">
        <w:rPr>
          <w:rFonts w:ascii="Arial" w:hAnsi="Arial" w:cs="Arial"/>
          <w:sz w:val="24"/>
          <w:szCs w:val="24"/>
        </w:rPr>
        <w:t>Urządzenie musi posiadać obsługę protokołu NTP oraz umożliwiać wysyłanie na zdalny system logów.</w:t>
      </w:r>
    </w:p>
    <w:p w14:paraId="53E92969" w14:textId="77777777" w:rsidR="005F2B0A" w:rsidRPr="00FA253F" w:rsidRDefault="005F2B0A" w:rsidP="00FA253F">
      <w:pPr>
        <w:pStyle w:val="Akapitzlist"/>
        <w:numPr>
          <w:ilvl w:val="0"/>
          <w:numId w:val="3"/>
        </w:numPr>
        <w:spacing w:after="0" w:line="360" w:lineRule="auto"/>
        <w:rPr>
          <w:rFonts w:ascii="Arial" w:hAnsi="Arial" w:cs="Arial"/>
          <w:sz w:val="24"/>
          <w:szCs w:val="24"/>
        </w:rPr>
      </w:pPr>
      <w:r w:rsidRPr="00FA253F">
        <w:rPr>
          <w:rFonts w:ascii="Arial" w:hAnsi="Arial" w:cs="Arial"/>
          <w:sz w:val="24"/>
          <w:szCs w:val="24"/>
        </w:rPr>
        <w:t>Urządzenie musi posiadać dwa wymienne zasilacze. Wymiana zasilaczy musi być wykonywana bez potrzeby wyłączenia urządzenia (ang. hot-swap).</w:t>
      </w:r>
    </w:p>
    <w:p w14:paraId="32E68A32" w14:textId="77777777" w:rsidR="005F2B0A" w:rsidRPr="00FA253F" w:rsidRDefault="005F2B0A" w:rsidP="00FA253F">
      <w:pPr>
        <w:pStyle w:val="Akapitzlist"/>
        <w:numPr>
          <w:ilvl w:val="0"/>
          <w:numId w:val="3"/>
        </w:numPr>
        <w:spacing w:after="0" w:line="360" w:lineRule="auto"/>
        <w:rPr>
          <w:rFonts w:ascii="Arial" w:hAnsi="Arial" w:cs="Arial"/>
          <w:sz w:val="24"/>
          <w:szCs w:val="24"/>
        </w:rPr>
      </w:pPr>
      <w:r w:rsidRPr="00FA253F">
        <w:rPr>
          <w:rFonts w:ascii="Arial" w:hAnsi="Arial" w:cs="Arial"/>
          <w:sz w:val="24"/>
          <w:szCs w:val="24"/>
        </w:rPr>
        <w:t>Urządzenie musi posiadać wymienne moduły wentylacji, których wymiana musi być wykonywana bez potrzeby wyłączenia urządzenia (ang. hot-swap).</w:t>
      </w:r>
    </w:p>
    <w:p w14:paraId="51506CF7" w14:textId="77777777" w:rsidR="005F2B0A" w:rsidRPr="00FA253F" w:rsidRDefault="005F2B0A" w:rsidP="00FA253F">
      <w:pPr>
        <w:pStyle w:val="Akapitzlist"/>
        <w:numPr>
          <w:ilvl w:val="0"/>
          <w:numId w:val="3"/>
        </w:numPr>
        <w:spacing w:after="0" w:line="360" w:lineRule="auto"/>
        <w:rPr>
          <w:rFonts w:ascii="Arial" w:hAnsi="Arial" w:cs="Arial"/>
          <w:sz w:val="24"/>
          <w:szCs w:val="24"/>
        </w:rPr>
      </w:pPr>
      <w:r w:rsidRPr="00FA253F">
        <w:rPr>
          <w:rFonts w:ascii="Arial" w:hAnsi="Arial" w:cs="Arial"/>
          <w:sz w:val="24"/>
          <w:szCs w:val="24"/>
        </w:rPr>
        <w:t>Kierunek przepływu powietrza w urządzeniu back-to-front.</w:t>
      </w:r>
    </w:p>
    <w:p w14:paraId="1571208A" w14:textId="77777777" w:rsidR="005F2B0A" w:rsidRPr="00FA253F" w:rsidRDefault="005F2B0A" w:rsidP="00FA253F">
      <w:pPr>
        <w:pStyle w:val="Akapitzlist"/>
        <w:numPr>
          <w:ilvl w:val="0"/>
          <w:numId w:val="3"/>
        </w:numPr>
        <w:spacing w:after="0" w:line="360" w:lineRule="auto"/>
        <w:rPr>
          <w:rFonts w:ascii="Arial" w:hAnsi="Arial" w:cs="Arial"/>
          <w:sz w:val="24"/>
          <w:szCs w:val="24"/>
        </w:rPr>
      </w:pPr>
      <w:r w:rsidRPr="00FA253F">
        <w:rPr>
          <w:rFonts w:ascii="Arial" w:hAnsi="Arial" w:cs="Arial"/>
          <w:sz w:val="24"/>
          <w:szCs w:val="24"/>
        </w:rPr>
        <w:t>Urządzenie musi obsługiwać protokoły:</w:t>
      </w:r>
    </w:p>
    <w:p w14:paraId="2FFA1BAF" w14:textId="77777777" w:rsidR="005F2B0A" w:rsidRPr="00FA253F" w:rsidRDefault="005F2B0A" w:rsidP="00FA253F">
      <w:pPr>
        <w:pStyle w:val="Akapitzlist"/>
        <w:numPr>
          <w:ilvl w:val="0"/>
          <w:numId w:val="4"/>
        </w:numPr>
        <w:spacing w:after="0" w:line="360" w:lineRule="auto"/>
        <w:rPr>
          <w:rFonts w:ascii="Arial" w:hAnsi="Arial" w:cs="Arial"/>
          <w:sz w:val="24"/>
          <w:szCs w:val="24"/>
        </w:rPr>
      </w:pPr>
      <w:r w:rsidRPr="00FA253F">
        <w:rPr>
          <w:rFonts w:ascii="Arial" w:hAnsi="Arial" w:cs="Arial"/>
          <w:sz w:val="24"/>
          <w:szCs w:val="24"/>
        </w:rPr>
        <w:t>Spanning Tree (IEEE 802.1d);</w:t>
      </w:r>
    </w:p>
    <w:p w14:paraId="2904E257" w14:textId="77777777" w:rsidR="005F2B0A" w:rsidRPr="00FA253F" w:rsidRDefault="005F2B0A" w:rsidP="00FA253F">
      <w:pPr>
        <w:pStyle w:val="Akapitzlist"/>
        <w:numPr>
          <w:ilvl w:val="0"/>
          <w:numId w:val="4"/>
        </w:numPr>
        <w:spacing w:after="0" w:line="360" w:lineRule="auto"/>
        <w:rPr>
          <w:rFonts w:ascii="Arial" w:hAnsi="Arial" w:cs="Arial"/>
          <w:sz w:val="24"/>
          <w:szCs w:val="24"/>
          <w:lang w:val="en-GB"/>
        </w:rPr>
      </w:pPr>
      <w:r w:rsidRPr="00FA253F">
        <w:rPr>
          <w:rFonts w:ascii="Arial" w:hAnsi="Arial" w:cs="Arial"/>
          <w:sz w:val="24"/>
          <w:szCs w:val="24"/>
          <w:lang w:val="en-GB"/>
        </w:rPr>
        <w:t>Rapid Spannig Tree (IEEE 802.1w);</w:t>
      </w:r>
    </w:p>
    <w:p w14:paraId="3B6BEE4F" w14:textId="77777777" w:rsidR="005F2B0A" w:rsidRPr="00FA253F" w:rsidRDefault="005F2B0A" w:rsidP="00FA253F">
      <w:pPr>
        <w:pStyle w:val="Akapitzlist"/>
        <w:numPr>
          <w:ilvl w:val="0"/>
          <w:numId w:val="4"/>
        </w:numPr>
        <w:spacing w:after="0" w:line="360" w:lineRule="auto"/>
        <w:rPr>
          <w:rFonts w:ascii="Arial" w:hAnsi="Arial" w:cs="Arial"/>
          <w:sz w:val="24"/>
          <w:szCs w:val="24"/>
          <w:lang w:val="en-GB"/>
        </w:rPr>
      </w:pPr>
      <w:r w:rsidRPr="00FA253F">
        <w:rPr>
          <w:rFonts w:ascii="Arial" w:hAnsi="Arial" w:cs="Arial"/>
          <w:sz w:val="24"/>
          <w:szCs w:val="24"/>
          <w:lang w:val="en-GB"/>
        </w:rPr>
        <w:t>Multiple Spanning Tree (IEEE 802.1s);</w:t>
      </w:r>
    </w:p>
    <w:p w14:paraId="36A22A36" w14:textId="77777777" w:rsidR="005F2B0A" w:rsidRPr="00FA253F" w:rsidRDefault="005F2B0A" w:rsidP="00FA253F">
      <w:pPr>
        <w:pStyle w:val="Akapitzlist"/>
        <w:numPr>
          <w:ilvl w:val="0"/>
          <w:numId w:val="4"/>
        </w:numPr>
        <w:spacing w:after="0" w:line="360" w:lineRule="auto"/>
        <w:rPr>
          <w:rFonts w:ascii="Arial" w:hAnsi="Arial" w:cs="Arial"/>
          <w:sz w:val="24"/>
          <w:szCs w:val="24"/>
          <w:lang w:val="en-GB"/>
        </w:rPr>
      </w:pPr>
      <w:r w:rsidRPr="00FA253F">
        <w:rPr>
          <w:rFonts w:ascii="Arial" w:hAnsi="Arial" w:cs="Arial"/>
          <w:sz w:val="24"/>
          <w:szCs w:val="24"/>
          <w:lang w:val="en-GB"/>
        </w:rPr>
        <w:t>LLDP (Link Layer Discovery Protocol – IEEE 802.1AB);</w:t>
      </w:r>
    </w:p>
    <w:p w14:paraId="063A2779" w14:textId="77777777" w:rsidR="005F2B0A" w:rsidRPr="00FA253F" w:rsidRDefault="005F2B0A" w:rsidP="00FA253F">
      <w:pPr>
        <w:pStyle w:val="Akapitzlist"/>
        <w:numPr>
          <w:ilvl w:val="0"/>
          <w:numId w:val="4"/>
        </w:numPr>
        <w:spacing w:after="0" w:line="360" w:lineRule="auto"/>
        <w:rPr>
          <w:rFonts w:ascii="Arial" w:hAnsi="Arial" w:cs="Arial"/>
          <w:sz w:val="24"/>
          <w:szCs w:val="24"/>
        </w:rPr>
      </w:pPr>
      <w:r w:rsidRPr="00FA253F">
        <w:rPr>
          <w:rFonts w:ascii="Arial" w:hAnsi="Arial" w:cs="Arial"/>
          <w:sz w:val="24"/>
          <w:szCs w:val="24"/>
        </w:rPr>
        <w:t>BFD (Bidirectional Forwarding Detection);</w:t>
      </w:r>
    </w:p>
    <w:p w14:paraId="0008F5DF" w14:textId="77777777" w:rsidR="005F2B0A" w:rsidRPr="00FA253F" w:rsidRDefault="005F2B0A" w:rsidP="00FA253F">
      <w:pPr>
        <w:pStyle w:val="Akapitzlist"/>
        <w:numPr>
          <w:ilvl w:val="0"/>
          <w:numId w:val="4"/>
        </w:numPr>
        <w:spacing w:after="0" w:line="360" w:lineRule="auto"/>
        <w:rPr>
          <w:rFonts w:ascii="Arial" w:hAnsi="Arial" w:cs="Arial"/>
          <w:sz w:val="24"/>
          <w:szCs w:val="24"/>
        </w:rPr>
      </w:pPr>
      <w:r w:rsidRPr="00FA253F">
        <w:rPr>
          <w:rFonts w:ascii="Arial" w:hAnsi="Arial" w:cs="Arial"/>
          <w:sz w:val="24"/>
          <w:szCs w:val="24"/>
        </w:rPr>
        <w:t>VRRP;</w:t>
      </w:r>
    </w:p>
    <w:p w14:paraId="72CD263A" w14:textId="77777777" w:rsidR="005F2B0A" w:rsidRPr="00FA253F" w:rsidRDefault="005F2B0A" w:rsidP="00FA253F">
      <w:pPr>
        <w:pStyle w:val="Akapitzlist"/>
        <w:numPr>
          <w:ilvl w:val="0"/>
          <w:numId w:val="4"/>
        </w:numPr>
        <w:spacing w:after="0" w:line="360" w:lineRule="auto"/>
        <w:rPr>
          <w:rFonts w:ascii="Arial" w:hAnsi="Arial" w:cs="Arial"/>
          <w:bCs/>
          <w:sz w:val="24"/>
          <w:szCs w:val="24"/>
        </w:rPr>
      </w:pPr>
      <w:r w:rsidRPr="00FA253F">
        <w:rPr>
          <w:rFonts w:ascii="Arial" w:hAnsi="Arial" w:cs="Arial"/>
          <w:bCs/>
          <w:sz w:val="24"/>
          <w:szCs w:val="24"/>
        </w:rPr>
        <w:t>VXLAN, Ethernet VPN;</w:t>
      </w:r>
    </w:p>
    <w:p w14:paraId="43408472" w14:textId="77777777" w:rsidR="005F2B0A" w:rsidRPr="00FA253F" w:rsidRDefault="005F2B0A" w:rsidP="00FA253F">
      <w:pPr>
        <w:pStyle w:val="Akapitzlist"/>
        <w:numPr>
          <w:ilvl w:val="0"/>
          <w:numId w:val="3"/>
        </w:numPr>
        <w:spacing w:after="0" w:line="360" w:lineRule="auto"/>
        <w:rPr>
          <w:rFonts w:ascii="Arial" w:hAnsi="Arial" w:cs="Arial"/>
          <w:bCs/>
          <w:sz w:val="24"/>
          <w:szCs w:val="24"/>
        </w:rPr>
      </w:pPr>
      <w:r w:rsidRPr="00FA253F">
        <w:rPr>
          <w:rFonts w:ascii="Arial" w:hAnsi="Arial" w:cs="Arial"/>
          <w:sz w:val="24"/>
          <w:szCs w:val="24"/>
        </w:rPr>
        <w:t>Urządzenie musi obsługiwać mechanizmy bezpieczeństwa:</w:t>
      </w:r>
    </w:p>
    <w:p w14:paraId="1D25D6F8" w14:textId="77777777" w:rsidR="005F2B0A" w:rsidRPr="00FA253F" w:rsidRDefault="005F2B0A" w:rsidP="00FA253F">
      <w:pPr>
        <w:pStyle w:val="Akapitzlist"/>
        <w:numPr>
          <w:ilvl w:val="2"/>
          <w:numId w:val="5"/>
        </w:numPr>
        <w:spacing w:after="0" w:line="360" w:lineRule="auto"/>
        <w:rPr>
          <w:rFonts w:ascii="Arial" w:hAnsi="Arial" w:cs="Arial"/>
          <w:sz w:val="24"/>
          <w:szCs w:val="24"/>
        </w:rPr>
      </w:pPr>
      <w:r w:rsidRPr="00FA253F">
        <w:rPr>
          <w:rFonts w:ascii="Arial" w:hAnsi="Arial" w:cs="Arial"/>
          <w:sz w:val="24"/>
          <w:szCs w:val="24"/>
        </w:rPr>
        <w:t>dynamiczne blokowanie broadcastów ARP;</w:t>
      </w:r>
    </w:p>
    <w:p w14:paraId="4FB49B7E" w14:textId="77777777" w:rsidR="005F2B0A" w:rsidRPr="00FA253F" w:rsidRDefault="005F2B0A" w:rsidP="00FA253F">
      <w:pPr>
        <w:pStyle w:val="Akapitzlist"/>
        <w:numPr>
          <w:ilvl w:val="2"/>
          <w:numId w:val="5"/>
        </w:numPr>
        <w:spacing w:after="0" w:line="360" w:lineRule="auto"/>
        <w:rPr>
          <w:rFonts w:ascii="Arial" w:hAnsi="Arial" w:cs="Arial"/>
          <w:sz w:val="24"/>
          <w:szCs w:val="24"/>
        </w:rPr>
      </w:pPr>
      <w:r w:rsidRPr="00FA253F">
        <w:rPr>
          <w:rFonts w:ascii="Arial" w:hAnsi="Arial" w:cs="Arial"/>
          <w:sz w:val="24"/>
          <w:szCs w:val="24"/>
        </w:rPr>
        <w:t>blokowanie pakietów DHCP od nieautoryzowanych hostów (DHCP snooping);</w:t>
      </w:r>
    </w:p>
    <w:p w14:paraId="5EBE21D7" w14:textId="77777777" w:rsidR="005F2B0A" w:rsidRPr="00FA253F" w:rsidRDefault="005F2B0A" w:rsidP="00FA253F">
      <w:pPr>
        <w:pStyle w:val="Akapitzlist"/>
        <w:numPr>
          <w:ilvl w:val="2"/>
          <w:numId w:val="5"/>
        </w:numPr>
        <w:spacing w:after="0" w:line="360" w:lineRule="auto"/>
        <w:rPr>
          <w:rFonts w:ascii="Arial" w:hAnsi="Arial" w:cs="Arial"/>
          <w:sz w:val="24"/>
          <w:szCs w:val="24"/>
        </w:rPr>
      </w:pPr>
      <w:r w:rsidRPr="00FA253F">
        <w:rPr>
          <w:rFonts w:ascii="Arial" w:hAnsi="Arial" w:cs="Arial"/>
          <w:sz w:val="24"/>
          <w:szCs w:val="24"/>
        </w:rPr>
        <w:t>limitowanie adresów MAC;</w:t>
      </w:r>
    </w:p>
    <w:p w14:paraId="3F25129E" w14:textId="77777777" w:rsidR="005F2B0A" w:rsidRPr="00FA253F" w:rsidRDefault="005F2B0A" w:rsidP="00FA253F">
      <w:pPr>
        <w:pStyle w:val="Akapitzlist"/>
        <w:numPr>
          <w:ilvl w:val="2"/>
          <w:numId w:val="5"/>
        </w:numPr>
        <w:spacing w:after="0" w:line="360" w:lineRule="auto"/>
        <w:rPr>
          <w:rFonts w:ascii="Arial" w:hAnsi="Arial" w:cs="Arial"/>
          <w:sz w:val="24"/>
          <w:szCs w:val="24"/>
        </w:rPr>
      </w:pPr>
      <w:r w:rsidRPr="00FA253F">
        <w:rPr>
          <w:rFonts w:ascii="Arial" w:hAnsi="Arial" w:cs="Arial"/>
          <w:sz w:val="24"/>
          <w:szCs w:val="24"/>
        </w:rPr>
        <w:t>dhcp relay dla IPv4;</w:t>
      </w:r>
    </w:p>
    <w:p w14:paraId="0C480541" w14:textId="77777777" w:rsidR="005F2B0A" w:rsidRPr="00FA253F" w:rsidRDefault="005F2B0A" w:rsidP="00FA253F">
      <w:pPr>
        <w:pStyle w:val="Akapitzlist"/>
        <w:numPr>
          <w:ilvl w:val="0"/>
          <w:numId w:val="3"/>
        </w:numPr>
        <w:spacing w:after="0" w:line="360" w:lineRule="auto"/>
        <w:rPr>
          <w:rFonts w:ascii="Arial" w:hAnsi="Arial" w:cs="Arial"/>
          <w:sz w:val="24"/>
          <w:szCs w:val="24"/>
        </w:rPr>
      </w:pPr>
      <w:r w:rsidRPr="00FA253F">
        <w:rPr>
          <w:rFonts w:ascii="Arial" w:hAnsi="Arial" w:cs="Arial"/>
          <w:sz w:val="24"/>
          <w:szCs w:val="24"/>
        </w:rPr>
        <w:t>Urządzenie musi posiadać mechanizm priorytetowania ruchu sieci (ang. Quality of Service, QoS)</w:t>
      </w:r>
    </w:p>
    <w:p w14:paraId="41FE3786" w14:textId="77777777" w:rsidR="005F2B0A" w:rsidRPr="00FA253F" w:rsidRDefault="005F2B0A" w:rsidP="00FA253F">
      <w:pPr>
        <w:pStyle w:val="Akapitzlist"/>
        <w:numPr>
          <w:ilvl w:val="0"/>
          <w:numId w:val="3"/>
        </w:numPr>
        <w:spacing w:after="0" w:line="360" w:lineRule="auto"/>
        <w:rPr>
          <w:rFonts w:ascii="Arial" w:hAnsi="Arial" w:cs="Arial"/>
          <w:sz w:val="24"/>
          <w:szCs w:val="24"/>
        </w:rPr>
      </w:pPr>
      <w:r w:rsidRPr="00FA253F">
        <w:rPr>
          <w:rFonts w:ascii="Arial" w:hAnsi="Arial" w:cs="Arial"/>
          <w:sz w:val="24"/>
          <w:szCs w:val="24"/>
        </w:rPr>
        <w:lastRenderedPageBreak/>
        <w:t>Urządzenie musi obsługiwać agregowanie połączeń fizycznych zgodne z IEEE 802.3AD - nie mniej niż 80 grup LAG, maksymalna liczba portów wspieranych w grupie LAG nie może być mniejsza niż 64.</w:t>
      </w:r>
    </w:p>
    <w:p w14:paraId="50A4F043" w14:textId="77777777" w:rsidR="005F2B0A" w:rsidRPr="00FA253F" w:rsidRDefault="005F2B0A" w:rsidP="00FA253F">
      <w:pPr>
        <w:pStyle w:val="Akapitzlist"/>
        <w:numPr>
          <w:ilvl w:val="0"/>
          <w:numId w:val="3"/>
        </w:numPr>
        <w:spacing w:after="0" w:line="360" w:lineRule="auto"/>
        <w:rPr>
          <w:rFonts w:ascii="Arial" w:hAnsi="Arial" w:cs="Arial"/>
          <w:sz w:val="24"/>
          <w:szCs w:val="24"/>
        </w:rPr>
      </w:pPr>
      <w:r w:rsidRPr="00FA253F">
        <w:rPr>
          <w:rFonts w:ascii="Arial" w:hAnsi="Arial" w:cs="Arial"/>
          <w:sz w:val="24"/>
          <w:szCs w:val="24"/>
        </w:rPr>
        <w:t xml:space="preserve">Urządzenie musi umożliwiać filtrowanie ruchu na poziomie portów. </w:t>
      </w:r>
    </w:p>
    <w:p w14:paraId="62A21959" w14:textId="77777777" w:rsidR="005F2B0A" w:rsidRPr="00FA253F" w:rsidRDefault="005F2B0A" w:rsidP="00FA253F">
      <w:pPr>
        <w:pStyle w:val="Akapitzlist"/>
        <w:numPr>
          <w:ilvl w:val="0"/>
          <w:numId w:val="3"/>
        </w:numPr>
        <w:spacing w:after="0" w:line="360" w:lineRule="auto"/>
        <w:rPr>
          <w:rFonts w:ascii="Arial" w:hAnsi="Arial" w:cs="Arial"/>
          <w:sz w:val="24"/>
          <w:szCs w:val="24"/>
        </w:rPr>
      </w:pPr>
      <w:r w:rsidRPr="00FA253F">
        <w:rPr>
          <w:rFonts w:ascii="Arial" w:hAnsi="Arial" w:cs="Arial"/>
          <w:sz w:val="24"/>
          <w:szCs w:val="24"/>
        </w:rPr>
        <w:t>Urządzenie musi obsługiwać sieci VLAN w ilości nie mniejszej niż 4000 z zastrzeżeniem, że musi istnieć możliwość przydzielenia dowolnego ID spośród 4094 VLAN. Urządzenie musi obsługiwać sieci VLAN oparte o porty fizyczne (port-based) i adresy MAC (MAC-based).</w:t>
      </w:r>
    </w:p>
    <w:p w14:paraId="7FB35175" w14:textId="77777777" w:rsidR="005F2B0A" w:rsidRPr="00FA253F" w:rsidRDefault="005F2B0A" w:rsidP="00FA253F">
      <w:pPr>
        <w:pStyle w:val="Akapitzlist"/>
        <w:numPr>
          <w:ilvl w:val="0"/>
          <w:numId w:val="3"/>
        </w:numPr>
        <w:spacing w:after="0" w:line="360" w:lineRule="auto"/>
        <w:rPr>
          <w:rFonts w:ascii="Arial" w:hAnsi="Arial" w:cs="Arial"/>
          <w:sz w:val="24"/>
          <w:szCs w:val="24"/>
        </w:rPr>
      </w:pPr>
      <w:r w:rsidRPr="00FA253F">
        <w:rPr>
          <w:rFonts w:ascii="Arial" w:hAnsi="Arial" w:cs="Arial"/>
          <w:sz w:val="24"/>
          <w:szCs w:val="24"/>
        </w:rPr>
        <w:t xml:space="preserve">Urządzenie musi obsługiwać IEEE 802.1X dla suplikanta na porcie. </w:t>
      </w:r>
    </w:p>
    <w:p w14:paraId="1D48E573" w14:textId="77777777" w:rsidR="005F2B0A" w:rsidRPr="00FA253F" w:rsidRDefault="005F2B0A" w:rsidP="00FA253F">
      <w:pPr>
        <w:pStyle w:val="Akapitzlist"/>
        <w:numPr>
          <w:ilvl w:val="0"/>
          <w:numId w:val="3"/>
        </w:numPr>
        <w:spacing w:after="0" w:line="360" w:lineRule="auto"/>
        <w:rPr>
          <w:rFonts w:ascii="Arial" w:hAnsi="Arial" w:cs="Arial"/>
          <w:sz w:val="24"/>
          <w:szCs w:val="24"/>
        </w:rPr>
      </w:pPr>
      <w:r w:rsidRPr="00FA253F">
        <w:rPr>
          <w:rFonts w:ascii="Arial" w:hAnsi="Arial" w:cs="Arial"/>
          <w:sz w:val="24"/>
          <w:szCs w:val="24"/>
        </w:rPr>
        <w:t>Urządzenie musi obsługiwać protokół SNMP w wersji 2c oraz 3.</w:t>
      </w:r>
    </w:p>
    <w:p w14:paraId="10972EA4" w14:textId="77777777" w:rsidR="005F2B0A" w:rsidRPr="00FA253F" w:rsidRDefault="005F2B0A" w:rsidP="00FA253F">
      <w:pPr>
        <w:pStyle w:val="Akapitzlist"/>
        <w:numPr>
          <w:ilvl w:val="0"/>
          <w:numId w:val="3"/>
        </w:numPr>
        <w:spacing w:after="0" w:line="360" w:lineRule="auto"/>
        <w:rPr>
          <w:rFonts w:ascii="Arial" w:hAnsi="Arial" w:cs="Arial"/>
          <w:sz w:val="24"/>
          <w:szCs w:val="24"/>
        </w:rPr>
      </w:pPr>
      <w:r w:rsidRPr="00FA253F">
        <w:rPr>
          <w:rFonts w:ascii="Arial" w:hAnsi="Arial" w:cs="Arial"/>
          <w:sz w:val="24"/>
          <w:szCs w:val="24"/>
        </w:rPr>
        <w:t>Urządzenie musi mieć funkcję kopiowania ruchu na poziomie portu.</w:t>
      </w:r>
    </w:p>
    <w:p w14:paraId="12E51675" w14:textId="77777777" w:rsidR="005F2B0A" w:rsidRPr="00FA253F" w:rsidRDefault="005F2B0A" w:rsidP="00FA253F">
      <w:pPr>
        <w:pStyle w:val="Akapitzlist"/>
        <w:numPr>
          <w:ilvl w:val="0"/>
          <w:numId w:val="3"/>
        </w:numPr>
        <w:spacing w:after="0" w:line="360" w:lineRule="auto"/>
        <w:rPr>
          <w:rFonts w:ascii="Arial" w:hAnsi="Arial" w:cs="Arial"/>
          <w:sz w:val="24"/>
          <w:szCs w:val="24"/>
        </w:rPr>
      </w:pPr>
      <w:r w:rsidRPr="00FA253F">
        <w:rPr>
          <w:rFonts w:ascii="Arial" w:hAnsi="Arial" w:cs="Arial"/>
          <w:sz w:val="24"/>
          <w:szCs w:val="24"/>
        </w:rPr>
        <w:t>Urządzenie musi obsługiwać ramki Jumbo (9216 bajtów).</w:t>
      </w:r>
    </w:p>
    <w:p w14:paraId="799B47EA" w14:textId="77777777" w:rsidR="005F2B0A" w:rsidRPr="00FA253F" w:rsidRDefault="005F2B0A" w:rsidP="00FA253F">
      <w:pPr>
        <w:pStyle w:val="Akapitzlist"/>
        <w:numPr>
          <w:ilvl w:val="0"/>
          <w:numId w:val="3"/>
        </w:numPr>
        <w:spacing w:after="0" w:line="360" w:lineRule="auto"/>
        <w:rPr>
          <w:rFonts w:ascii="Arial" w:hAnsi="Arial" w:cs="Arial"/>
          <w:sz w:val="24"/>
          <w:szCs w:val="24"/>
        </w:rPr>
      </w:pPr>
      <w:r w:rsidRPr="00FA253F">
        <w:rPr>
          <w:rFonts w:ascii="Arial" w:hAnsi="Arial" w:cs="Arial"/>
          <w:sz w:val="24"/>
          <w:szCs w:val="24"/>
        </w:rPr>
        <w:t>Urządzenie musi umożliwiać stworzenie stosu liczącego co najmniej dwa urządzenia. Do łączenia w stos muszą być zastosowane połączenia o prędkości co najmniej 40 Gbps. Jeśli funkcja łączenia (ang. stack) wymaga licencji i/lub dodatkowych modułów, elementy te muszą zostać ujęte w cenie oferty.</w:t>
      </w:r>
    </w:p>
    <w:p w14:paraId="5522CBCD" w14:textId="77777777" w:rsidR="005F2B0A" w:rsidRPr="00FA253F" w:rsidRDefault="005F2B0A" w:rsidP="00FA253F">
      <w:pPr>
        <w:pStyle w:val="Akapitzlist"/>
        <w:numPr>
          <w:ilvl w:val="0"/>
          <w:numId w:val="3"/>
        </w:numPr>
        <w:spacing w:after="0" w:line="360" w:lineRule="auto"/>
        <w:rPr>
          <w:rFonts w:ascii="Arial" w:hAnsi="Arial" w:cs="Arial"/>
          <w:sz w:val="24"/>
          <w:szCs w:val="24"/>
        </w:rPr>
      </w:pPr>
      <w:r w:rsidRPr="00FA253F">
        <w:rPr>
          <w:rFonts w:ascii="Arial" w:hAnsi="Arial" w:cs="Arial"/>
          <w:sz w:val="24"/>
          <w:szCs w:val="24"/>
        </w:rPr>
        <w:t>Urządzenie musi posiadać możliwość obsługi co najmniej 200 000 tras dla IPv4.</w:t>
      </w:r>
    </w:p>
    <w:p w14:paraId="32F1519D" w14:textId="77777777" w:rsidR="005F2B0A" w:rsidRPr="00FA253F" w:rsidRDefault="005F2B0A" w:rsidP="00FA253F">
      <w:pPr>
        <w:pStyle w:val="Akapitzlist"/>
        <w:numPr>
          <w:ilvl w:val="0"/>
          <w:numId w:val="3"/>
        </w:numPr>
        <w:spacing w:after="0" w:line="360" w:lineRule="auto"/>
        <w:rPr>
          <w:rFonts w:ascii="Arial" w:hAnsi="Arial" w:cs="Arial"/>
          <w:sz w:val="24"/>
          <w:szCs w:val="24"/>
        </w:rPr>
      </w:pPr>
      <w:r w:rsidRPr="00FA253F">
        <w:rPr>
          <w:rFonts w:ascii="Arial" w:hAnsi="Arial" w:cs="Arial"/>
          <w:sz w:val="24"/>
          <w:szCs w:val="24"/>
        </w:rPr>
        <w:t>Urządzenie musi obsługiwać mechanizm Multichassis link aggregation (MC-LAG) oraz EVPN Multihoming (ESI-LAG).</w:t>
      </w:r>
    </w:p>
    <w:p w14:paraId="6ED4BB37" w14:textId="77777777" w:rsidR="005F2B0A" w:rsidRPr="00FA253F" w:rsidRDefault="005F2B0A" w:rsidP="00FA253F">
      <w:pPr>
        <w:pStyle w:val="Akapitzlist"/>
        <w:numPr>
          <w:ilvl w:val="0"/>
          <w:numId w:val="3"/>
        </w:numPr>
        <w:spacing w:after="0" w:line="360" w:lineRule="auto"/>
        <w:rPr>
          <w:rFonts w:ascii="Arial" w:hAnsi="Arial" w:cs="Arial"/>
          <w:sz w:val="24"/>
          <w:szCs w:val="24"/>
        </w:rPr>
      </w:pPr>
      <w:r w:rsidRPr="00FA253F">
        <w:rPr>
          <w:rFonts w:ascii="Arial" w:hAnsi="Arial" w:cs="Arial"/>
          <w:sz w:val="24"/>
          <w:szCs w:val="24"/>
        </w:rPr>
        <w:t>Urządzenie musi posiadać możliwość obsługi protokołów routingu dynamicznego OSPFv2/v3, IS-IS, BGP oraz routingu multicast w postaci PIM-SM, PIM-SSM, MSDP oraz IGMP i IGMP Snooping dla wersji IGMP v2 i v3. Ponadto musi istnieć możliwość wyboru RP metodą anycast RP.</w:t>
      </w:r>
    </w:p>
    <w:p w14:paraId="721F1C3F" w14:textId="77777777" w:rsidR="005F2B0A" w:rsidRPr="00FA253F" w:rsidRDefault="005F2B0A" w:rsidP="00FA253F">
      <w:pPr>
        <w:pStyle w:val="Akapitzlist"/>
        <w:numPr>
          <w:ilvl w:val="0"/>
          <w:numId w:val="3"/>
        </w:numPr>
        <w:spacing w:after="0" w:line="360" w:lineRule="auto"/>
        <w:rPr>
          <w:rFonts w:ascii="Arial" w:hAnsi="Arial" w:cs="Arial"/>
          <w:sz w:val="24"/>
          <w:szCs w:val="24"/>
        </w:rPr>
      </w:pPr>
      <w:r w:rsidRPr="00FA253F">
        <w:rPr>
          <w:rFonts w:ascii="Arial" w:hAnsi="Arial" w:cs="Arial"/>
          <w:sz w:val="24"/>
          <w:szCs w:val="24"/>
        </w:rPr>
        <w:t>Urządzenie musi obsługiwać filtrowanie ruchu co najmniej na poziomie portu i sieci VLAN dla kryteriów z warstw 2, 3 i 4. Urządzenie musi realizować sprzętowo nie mniej niż 1500 reguł filtrowania ruchu dla ruchu wejściowego i 500 reguł dla ruchu wyjściowego. W regułach filtrowania ruchu musi być dostępny mechanizm zliczania dla zaakceptowanych lub zablokowanych pakietów. Musi być dostępna funkcja edycji reguł filtrowania ruchu na samym urządzeniu.</w:t>
      </w:r>
    </w:p>
    <w:p w14:paraId="2E8B930D" w14:textId="77777777" w:rsidR="005F2B0A" w:rsidRPr="00FA253F" w:rsidRDefault="005F2B0A" w:rsidP="00FA253F">
      <w:pPr>
        <w:pStyle w:val="Akapitzlist"/>
        <w:numPr>
          <w:ilvl w:val="0"/>
          <w:numId w:val="3"/>
        </w:numPr>
        <w:spacing w:after="0" w:line="360" w:lineRule="auto"/>
        <w:rPr>
          <w:rStyle w:val="Wyrnieniedelikatne"/>
          <w:rFonts w:ascii="Arial" w:hAnsi="Arial" w:cs="Arial"/>
          <w:i w:val="0"/>
          <w:iCs w:val="0"/>
          <w:sz w:val="24"/>
          <w:szCs w:val="24"/>
        </w:rPr>
      </w:pPr>
      <w:r w:rsidRPr="00FA253F">
        <w:rPr>
          <w:rFonts w:ascii="Arial" w:hAnsi="Arial" w:cs="Arial"/>
          <w:sz w:val="24"/>
          <w:szCs w:val="24"/>
        </w:rPr>
        <w:lastRenderedPageBreak/>
        <w:t xml:space="preserve">Urządzenie musi umożliwiać stworzenie co najmniej 50 wirtualnych instancji routera, które pozwolą na </w:t>
      </w:r>
      <w:r w:rsidRPr="00FA253F">
        <w:rPr>
          <w:rStyle w:val="Wyrnieniedelikatne"/>
          <w:rFonts w:ascii="Arial" w:hAnsi="Arial" w:cs="Arial"/>
          <w:sz w:val="24"/>
          <w:szCs w:val="24"/>
        </w:rPr>
        <w:t>przełączanie ruchu za pomocą protokołu routing OSPF/BGP.</w:t>
      </w:r>
    </w:p>
    <w:p w14:paraId="3B951E6F" w14:textId="77777777" w:rsidR="005F2B0A" w:rsidRPr="00FA253F" w:rsidRDefault="005F2B0A" w:rsidP="00FA253F">
      <w:pPr>
        <w:pStyle w:val="Akapitzlist"/>
        <w:numPr>
          <w:ilvl w:val="0"/>
          <w:numId w:val="3"/>
        </w:numPr>
        <w:shd w:val="clear" w:color="auto" w:fill="FFFFFF"/>
        <w:spacing w:after="0" w:line="360" w:lineRule="auto"/>
        <w:rPr>
          <w:rFonts w:ascii="Arial" w:hAnsi="Arial" w:cs="Arial"/>
          <w:sz w:val="24"/>
          <w:szCs w:val="24"/>
        </w:rPr>
      </w:pPr>
      <w:r w:rsidRPr="00FA253F">
        <w:rPr>
          <w:rFonts w:ascii="Arial" w:hAnsi="Arial" w:cs="Arial"/>
          <w:sz w:val="24"/>
          <w:szCs w:val="24"/>
        </w:rPr>
        <w:t xml:space="preserve">Urządzenie musi być wyposażone w dwa kable do </w:t>
      </w:r>
      <w:r w:rsidRPr="00FA253F">
        <w:rPr>
          <w:rFonts w:ascii="Arial" w:hAnsi="Arial" w:cs="Arial"/>
          <w:bCs/>
          <w:sz w:val="24"/>
          <w:szCs w:val="24"/>
        </w:rPr>
        <w:t>bezpośredniego połączenia (DAC) o przepustowości 100 Gbps o długości 1m i 1,5 m.</w:t>
      </w:r>
    </w:p>
    <w:p w14:paraId="62BD5174" w14:textId="77777777" w:rsidR="005F2B0A" w:rsidRPr="00FA253F" w:rsidRDefault="005F2B0A" w:rsidP="00FA253F">
      <w:pPr>
        <w:pStyle w:val="Akapitzlist"/>
        <w:numPr>
          <w:ilvl w:val="0"/>
          <w:numId w:val="3"/>
        </w:numPr>
        <w:shd w:val="clear" w:color="auto" w:fill="FFFFFF"/>
        <w:spacing w:after="0" w:line="360" w:lineRule="auto"/>
        <w:rPr>
          <w:rFonts w:ascii="Arial" w:hAnsi="Arial" w:cs="Arial"/>
          <w:sz w:val="24"/>
          <w:szCs w:val="24"/>
        </w:rPr>
      </w:pPr>
      <w:r w:rsidRPr="00FA253F">
        <w:rPr>
          <w:rFonts w:ascii="Arial" w:eastAsia="Times New Roman" w:hAnsi="Arial" w:cs="Arial"/>
          <w:bCs/>
          <w:sz w:val="24"/>
          <w:szCs w:val="24"/>
          <w:lang w:eastAsia="pl-PL"/>
        </w:rPr>
        <w:t>Dostarczone moduły transmisyjne muszą być w pełni kompatybilne z dostarczanym urządzeniem, nie dopuszczalne jest generowanie przez te moduły jakichkolwiek błędów. Dopuszcza się dostarczenie ww. modułów innego producenta niż przełączniki pod warunkiem spełnienia powyższego zapisu. Wszystkie moduły transmisyjne muszą być oznakowane kodem paskowym w standardzie UPC/EAN lub innym standardowym kodem kreskowym umożliwiającym prawidłowy odczyt numeru seryjnego.</w:t>
      </w:r>
    </w:p>
    <w:p w14:paraId="13EAB3C6" w14:textId="77777777" w:rsidR="005F2B0A" w:rsidRPr="00FA253F" w:rsidRDefault="005F2B0A" w:rsidP="00FA253F">
      <w:pPr>
        <w:pStyle w:val="Bezodstpw"/>
        <w:numPr>
          <w:ilvl w:val="0"/>
          <w:numId w:val="3"/>
        </w:numPr>
        <w:spacing w:line="360" w:lineRule="auto"/>
        <w:rPr>
          <w:rFonts w:ascii="Arial" w:hAnsi="Arial" w:cs="Arial"/>
          <w:sz w:val="24"/>
          <w:szCs w:val="24"/>
        </w:rPr>
      </w:pPr>
      <w:r w:rsidRPr="00FA253F">
        <w:rPr>
          <w:rFonts w:ascii="Arial" w:hAnsi="Arial" w:cs="Arial"/>
          <w:sz w:val="24"/>
          <w:szCs w:val="24"/>
        </w:rPr>
        <w:t>Pomoc techniczna oraz szkolenia z produktu muszą być dostępne w Polsce. Usługi te świadczone być muszą w języku polskim.</w:t>
      </w:r>
    </w:p>
    <w:p w14:paraId="2DFF643C" w14:textId="77777777" w:rsidR="005F2B0A" w:rsidRPr="00FA253F" w:rsidRDefault="005F2B0A" w:rsidP="00FA253F">
      <w:pPr>
        <w:pStyle w:val="Bezodstpw"/>
        <w:numPr>
          <w:ilvl w:val="0"/>
          <w:numId w:val="3"/>
        </w:numPr>
        <w:spacing w:line="360" w:lineRule="auto"/>
        <w:rPr>
          <w:rFonts w:ascii="Arial" w:hAnsi="Arial" w:cs="Arial"/>
          <w:sz w:val="24"/>
          <w:szCs w:val="24"/>
        </w:rPr>
      </w:pPr>
      <w:r w:rsidRPr="00FA253F">
        <w:rPr>
          <w:rFonts w:ascii="Arial" w:hAnsi="Arial" w:cs="Arial"/>
          <w:sz w:val="24"/>
          <w:szCs w:val="24"/>
        </w:rPr>
        <w:t>Urządzenia muszą pochodzić z autoryzowanego kanału dystrybucji producenta przeznaczonego na teren Unii Europejskiej, a korzystanie przez Zamawiającego z dostarczonego produktu nie może stanowić naruszenia majątkowych praw autorskich osób trzecich. Zamawiający wymaga dostarczenia wraz z urządzeniami oświadczenia przedstawiciela producenta potwierdzającego ważność uprawnień gwarancyjnych na terenie Polski</w:t>
      </w:r>
    </w:p>
    <w:p w14:paraId="39B51934" w14:textId="77777777" w:rsidR="005F2B0A" w:rsidRPr="00FA253F" w:rsidRDefault="005F2B0A" w:rsidP="00FA253F">
      <w:pPr>
        <w:pStyle w:val="Bezodstpw"/>
        <w:numPr>
          <w:ilvl w:val="0"/>
          <w:numId w:val="3"/>
        </w:numPr>
        <w:spacing w:line="360" w:lineRule="auto"/>
        <w:rPr>
          <w:rFonts w:ascii="Arial" w:hAnsi="Arial" w:cs="Arial"/>
          <w:sz w:val="24"/>
          <w:szCs w:val="24"/>
        </w:rPr>
      </w:pPr>
      <w:r w:rsidRPr="00FA253F">
        <w:rPr>
          <w:rFonts w:ascii="Arial" w:hAnsi="Arial" w:cs="Arial"/>
          <w:sz w:val="24"/>
          <w:szCs w:val="24"/>
        </w:rPr>
        <w:t>Wraz z urządzeniem wymagane jest dostarczenie opieki technicznej ważnej przez okres 60 miesięcy. Opieka musi zawierać wsparcie techniczne świadczone telefonicznie oraz pocztą elektroniczną przez producenta oraz autoryzowanego partnera serwisowego, wymianę uszkodzonego sprzętu w ciągu 10 dni od momentu potwierdzenia usterki przez producenta, dostęp do nowych wersji oprogramowania, a także dostęp do baz wiedzy, przewodników konfiguracyjnych i narzędzi diagnostycznych.</w:t>
      </w:r>
    </w:p>
    <w:p w14:paraId="7394BDB3" w14:textId="77777777" w:rsidR="005F2B0A" w:rsidRPr="00FA253F" w:rsidRDefault="005F2B0A" w:rsidP="00FA253F">
      <w:pPr>
        <w:pStyle w:val="Bezodstpw"/>
        <w:spacing w:line="360" w:lineRule="auto"/>
        <w:ind w:left="360"/>
        <w:rPr>
          <w:rFonts w:ascii="Arial" w:hAnsi="Arial" w:cs="Arial"/>
          <w:sz w:val="24"/>
          <w:szCs w:val="24"/>
        </w:rPr>
      </w:pPr>
    </w:p>
    <w:p w14:paraId="1B6D0B0C" w14:textId="77777777" w:rsidR="005F2B0A" w:rsidRPr="00FA253F" w:rsidRDefault="005F2B0A" w:rsidP="00FA253F">
      <w:pPr>
        <w:pStyle w:val="Bezodstpw"/>
        <w:spacing w:line="360" w:lineRule="auto"/>
        <w:rPr>
          <w:rFonts w:ascii="Arial" w:hAnsi="Arial" w:cs="Arial"/>
          <w:sz w:val="24"/>
          <w:szCs w:val="24"/>
        </w:rPr>
      </w:pPr>
    </w:p>
    <w:sectPr w:rsidR="005F2B0A" w:rsidRPr="00FA253F" w:rsidSect="00FA253F">
      <w:headerReference w:type="default" r:id="rId7"/>
      <w:footerReference w:type="default" r:id="rId8"/>
      <w:pgSz w:w="11906" w:h="16838"/>
      <w:pgMar w:top="1417" w:right="1417" w:bottom="1417" w:left="1417" w:header="0" w:footer="0"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8FC866" w14:textId="77777777" w:rsidR="003572A4" w:rsidRDefault="003572A4" w:rsidP="0059763B">
      <w:pPr>
        <w:spacing w:after="0" w:line="240" w:lineRule="auto"/>
      </w:pPr>
      <w:r>
        <w:separator/>
      </w:r>
    </w:p>
  </w:endnote>
  <w:endnote w:type="continuationSeparator" w:id="0">
    <w:p w14:paraId="2CF662CC" w14:textId="77777777" w:rsidR="003572A4" w:rsidRDefault="003572A4" w:rsidP="00597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ans">
    <w:altName w:val="Arial"/>
    <w:charset w:val="EE"/>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3880364"/>
      <w:docPartObj>
        <w:docPartGallery w:val="Page Numbers (Bottom of Page)"/>
        <w:docPartUnique/>
      </w:docPartObj>
    </w:sdtPr>
    <w:sdtEndPr/>
    <w:sdtContent>
      <w:p w14:paraId="32D04AB8" w14:textId="6A153782" w:rsidR="00FA253F" w:rsidRDefault="00FA253F" w:rsidP="00FA253F">
        <w:pPr>
          <w:pStyle w:val="Stopka"/>
        </w:pPr>
        <w:r>
          <w:rPr>
            <w:noProof/>
            <w:lang w:eastAsia="pl-PL"/>
          </w:rPr>
          <w:drawing>
            <wp:anchor distT="0" distB="0" distL="0" distR="0" simplePos="0" relativeHeight="251659264" behindDoc="1" locked="0" layoutInCell="0" allowOverlap="1" wp14:anchorId="4C429EBB" wp14:editId="44396CF1">
              <wp:simplePos x="0" y="0"/>
              <wp:positionH relativeFrom="column">
                <wp:posOffset>1270</wp:posOffset>
              </wp:positionH>
              <wp:positionV relativeFrom="paragraph">
                <wp:posOffset>-179070</wp:posOffset>
              </wp:positionV>
              <wp:extent cx="5760085" cy="450850"/>
              <wp:effectExtent l="0" t="0" r="0" b="6350"/>
              <wp:wrapNone/>
              <wp:docPr id="59" name="Obraz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450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B084DD" w14:textId="5B7BC4DC" w:rsidR="0059763B" w:rsidRDefault="0059763B">
        <w:pPr>
          <w:pStyle w:val="Stopka"/>
          <w:jc w:val="right"/>
        </w:pPr>
        <w:r>
          <w:fldChar w:fldCharType="begin"/>
        </w:r>
        <w:r>
          <w:instrText>PAGE   \* MERGEFORMAT</w:instrText>
        </w:r>
        <w:r>
          <w:fldChar w:fldCharType="separate"/>
        </w:r>
        <w:r w:rsidR="00E65A7F">
          <w:rPr>
            <w:noProof/>
          </w:rPr>
          <w:t>1</w:t>
        </w:r>
        <w:r>
          <w:fldChar w:fldCharType="end"/>
        </w:r>
      </w:p>
    </w:sdtContent>
  </w:sdt>
  <w:p w14:paraId="491B48C0" w14:textId="77777777" w:rsidR="0059763B" w:rsidRDefault="0059763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6056F6" w14:textId="77777777" w:rsidR="003572A4" w:rsidRDefault="003572A4" w:rsidP="0059763B">
      <w:pPr>
        <w:spacing w:after="0" w:line="240" w:lineRule="auto"/>
      </w:pPr>
      <w:r>
        <w:separator/>
      </w:r>
    </w:p>
  </w:footnote>
  <w:footnote w:type="continuationSeparator" w:id="0">
    <w:p w14:paraId="56EB32DB" w14:textId="77777777" w:rsidR="003572A4" w:rsidRDefault="003572A4" w:rsidP="005976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2E98B7" w14:textId="28F25AEA" w:rsidR="00FA253F" w:rsidRDefault="00FA253F">
    <w:pPr>
      <w:pStyle w:val="Nagwek"/>
    </w:pPr>
  </w:p>
  <w:p w14:paraId="421A2AF2" w14:textId="67BECA4D" w:rsidR="00FA253F" w:rsidRPr="00FA253F" w:rsidRDefault="00FA253F" w:rsidP="00FA253F">
    <w:pPr>
      <w:pStyle w:val="Nagwek"/>
    </w:pPr>
    <w:r>
      <w:rPr>
        <w:rFonts w:ascii="Times New Roman" w:hAnsi="Times New Roman" w:cs="Times New Roman"/>
        <w:noProof/>
        <w:sz w:val="20"/>
        <w:lang w:eastAsia="pl-PL"/>
      </w:rPr>
      <w:drawing>
        <wp:anchor distT="0" distB="0" distL="0" distR="0" simplePos="0" relativeHeight="251661312" behindDoc="1" locked="0" layoutInCell="0" allowOverlap="1" wp14:anchorId="03C86299" wp14:editId="66257CD9">
          <wp:simplePos x="0" y="0"/>
          <wp:positionH relativeFrom="column">
            <wp:posOffset>-309880</wp:posOffset>
          </wp:positionH>
          <wp:positionV relativeFrom="paragraph">
            <wp:posOffset>-80645</wp:posOffset>
          </wp:positionV>
          <wp:extent cx="6304280" cy="956945"/>
          <wp:effectExtent l="0" t="0" r="0" b="0"/>
          <wp:wrapSquare wrapText="bothSides"/>
          <wp:docPr id="58" name="Obraz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4280" cy="9569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62E31"/>
    <w:multiLevelType w:val="multilevel"/>
    <w:tmpl w:val="8F52B2D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3565FC7"/>
    <w:multiLevelType w:val="multilevel"/>
    <w:tmpl w:val="4586725E"/>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720" w:hanging="360"/>
      </w:pPr>
      <w:rPr>
        <w:b w:val="0"/>
      </w:rPr>
    </w:lvl>
    <w:lvl w:ilvl="2">
      <w:start w:val="1"/>
      <w:numFmt w:val="lowerLetter"/>
      <w:lvlText w:val="%3."/>
      <w:lvlJc w:val="left"/>
      <w:pPr>
        <w:tabs>
          <w:tab w:val="num" w:pos="0"/>
        </w:tabs>
        <w:ind w:left="1080" w:hanging="360"/>
      </w:pPr>
      <w:rPr>
        <w:color w:val="auto"/>
      </w:r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 w15:restartNumberingAfterBreak="0">
    <w:nsid w:val="3D0F24DE"/>
    <w:multiLevelType w:val="multilevel"/>
    <w:tmpl w:val="37DEAD6A"/>
    <w:lvl w:ilvl="0">
      <w:start w:val="1"/>
      <w:numFmt w:val="lowerLetter"/>
      <w:lvlText w:val="%1."/>
      <w:lvlJc w:val="left"/>
      <w:pPr>
        <w:tabs>
          <w:tab w:val="num" w:pos="0"/>
        </w:tabs>
        <w:ind w:left="1068" w:hanging="360"/>
      </w:pPr>
      <w:rPr>
        <w:color w:val="auto"/>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3" w15:restartNumberingAfterBreak="0">
    <w:nsid w:val="40820A8B"/>
    <w:multiLevelType w:val="multilevel"/>
    <w:tmpl w:val="2E68BE9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75F76021"/>
    <w:multiLevelType w:val="multilevel"/>
    <w:tmpl w:val="3C087EEA"/>
    <w:lvl w:ilvl="0">
      <w:start w:val="1"/>
      <w:numFmt w:val="decimal"/>
      <w:lvlText w:val="%1."/>
      <w:lvlJc w:val="left"/>
      <w:pPr>
        <w:tabs>
          <w:tab w:val="num" w:pos="0"/>
        </w:tabs>
        <w:ind w:left="360" w:hanging="360"/>
      </w:pPr>
      <w:rPr>
        <w:b w:val="0"/>
      </w:rPr>
    </w:lvl>
    <w:lvl w:ilvl="1">
      <w:start w:val="1"/>
      <w:numFmt w:val="decimal"/>
      <w:lvlText w:val="%2."/>
      <w:lvlJc w:val="left"/>
      <w:pPr>
        <w:tabs>
          <w:tab w:val="num" w:pos="0"/>
        </w:tabs>
        <w:ind w:left="720" w:hanging="360"/>
      </w:pPr>
      <w:rPr>
        <w:b w:val="0"/>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FBE"/>
    <w:rsid w:val="001D0853"/>
    <w:rsid w:val="002203BF"/>
    <w:rsid w:val="00262EB4"/>
    <w:rsid w:val="002A58DA"/>
    <w:rsid w:val="003572A4"/>
    <w:rsid w:val="00396365"/>
    <w:rsid w:val="00496F00"/>
    <w:rsid w:val="00560CB8"/>
    <w:rsid w:val="0059763B"/>
    <w:rsid w:val="005F2B0A"/>
    <w:rsid w:val="006C6E85"/>
    <w:rsid w:val="006F59D1"/>
    <w:rsid w:val="00746D3F"/>
    <w:rsid w:val="007D26F7"/>
    <w:rsid w:val="0083437D"/>
    <w:rsid w:val="00847FAB"/>
    <w:rsid w:val="00963849"/>
    <w:rsid w:val="00992AEB"/>
    <w:rsid w:val="009D0BDF"/>
    <w:rsid w:val="00BB3ED8"/>
    <w:rsid w:val="00C86703"/>
    <w:rsid w:val="00CE5863"/>
    <w:rsid w:val="00D048B6"/>
    <w:rsid w:val="00D52B20"/>
    <w:rsid w:val="00E65A7F"/>
    <w:rsid w:val="00F03FBE"/>
    <w:rsid w:val="00FA253F"/>
    <w:rsid w:val="00FD0FAA"/>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CB714D"/>
  <w15:docId w15:val="{24749FEE-459B-4BBA-B7C7-97AE4EF8B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872E6"/>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rzypisukocowegoZnak">
    <w:name w:val="Tekst przypisu końcowego Znak"/>
    <w:basedOn w:val="Domylnaczcionkaakapitu"/>
    <w:link w:val="Tekstprzypisukocowego"/>
    <w:uiPriority w:val="99"/>
    <w:semiHidden/>
    <w:qFormat/>
    <w:rsid w:val="00B97EFF"/>
    <w:rPr>
      <w:sz w:val="20"/>
      <w:szCs w:val="20"/>
    </w:rPr>
  </w:style>
  <w:style w:type="character" w:customStyle="1" w:styleId="Znakiprzypiswkocowych">
    <w:name w:val="Znaki przypisów końcowych"/>
    <w:basedOn w:val="Domylnaczcionkaakapitu"/>
    <w:uiPriority w:val="99"/>
    <w:semiHidden/>
    <w:unhideWhenUsed/>
    <w:qFormat/>
    <w:rsid w:val="00B97EFF"/>
    <w:rPr>
      <w:vertAlign w:val="superscript"/>
    </w:rPr>
  </w:style>
  <w:style w:type="character" w:styleId="Odwoanieprzypisukocowego">
    <w:name w:val="endnote reference"/>
    <w:rPr>
      <w:vertAlign w:val="superscript"/>
    </w:rPr>
  </w:style>
  <w:style w:type="character" w:styleId="Odwoaniedokomentarza">
    <w:name w:val="annotation reference"/>
    <w:basedOn w:val="Domylnaczcionkaakapitu"/>
    <w:uiPriority w:val="99"/>
    <w:semiHidden/>
    <w:unhideWhenUsed/>
    <w:qFormat/>
    <w:rsid w:val="00361D57"/>
    <w:rPr>
      <w:sz w:val="16"/>
      <w:szCs w:val="16"/>
    </w:rPr>
  </w:style>
  <w:style w:type="character" w:customStyle="1" w:styleId="TekstkomentarzaZnak">
    <w:name w:val="Tekst komentarza Znak"/>
    <w:basedOn w:val="Domylnaczcionkaakapitu"/>
    <w:link w:val="Tekstkomentarza"/>
    <w:uiPriority w:val="99"/>
    <w:semiHidden/>
    <w:qFormat/>
    <w:rsid w:val="00361D57"/>
    <w:rPr>
      <w:sz w:val="20"/>
      <w:szCs w:val="20"/>
    </w:rPr>
  </w:style>
  <w:style w:type="character" w:customStyle="1" w:styleId="TematkomentarzaZnak">
    <w:name w:val="Temat komentarza Znak"/>
    <w:basedOn w:val="TekstkomentarzaZnak"/>
    <w:link w:val="Tematkomentarza"/>
    <w:uiPriority w:val="99"/>
    <w:semiHidden/>
    <w:qFormat/>
    <w:rsid w:val="00361D57"/>
    <w:rPr>
      <w:b/>
      <w:bCs/>
      <w:sz w:val="20"/>
      <w:szCs w:val="20"/>
    </w:rPr>
  </w:style>
  <w:style w:type="character" w:customStyle="1" w:styleId="TekstdymkaZnak">
    <w:name w:val="Tekst dymka Znak"/>
    <w:basedOn w:val="Domylnaczcionkaakapitu"/>
    <w:link w:val="Tekstdymka"/>
    <w:uiPriority w:val="99"/>
    <w:semiHidden/>
    <w:qFormat/>
    <w:rsid w:val="00361D57"/>
    <w:rPr>
      <w:rFonts w:ascii="Segoe UI" w:hAnsi="Segoe UI" w:cs="Segoe UI"/>
      <w:sz w:val="18"/>
      <w:szCs w:val="18"/>
    </w:rPr>
  </w:style>
  <w:style w:type="character" w:styleId="Hipercze">
    <w:name w:val="Hyperlink"/>
    <w:basedOn w:val="Domylnaczcionkaakapitu"/>
    <w:uiPriority w:val="99"/>
    <w:semiHidden/>
    <w:unhideWhenUsed/>
    <w:rsid w:val="00361D57"/>
    <w:rPr>
      <w:color w:val="0000FF"/>
      <w:u w:val="single"/>
    </w:rPr>
  </w:style>
  <w:style w:type="paragraph" w:styleId="Nagwek">
    <w:name w:val="header"/>
    <w:basedOn w:val="Normalny"/>
    <w:next w:val="Tekstpodstawowy"/>
    <w:link w:val="NagwekZnak"/>
    <w:uiPriority w:val="99"/>
    <w:qFormat/>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Bezodstpw">
    <w:name w:val="No Spacing"/>
    <w:qFormat/>
    <w:rsid w:val="0091312B"/>
  </w:style>
  <w:style w:type="paragraph" w:styleId="Akapitzlist">
    <w:name w:val="List Paragraph"/>
    <w:basedOn w:val="Normalny"/>
    <w:uiPriority w:val="34"/>
    <w:qFormat/>
    <w:rsid w:val="00A00475"/>
    <w:pPr>
      <w:ind w:left="720"/>
      <w:contextualSpacing/>
    </w:pPr>
  </w:style>
  <w:style w:type="paragraph" w:styleId="Tekstprzypisukocowego">
    <w:name w:val="endnote text"/>
    <w:basedOn w:val="Normalny"/>
    <w:link w:val="TekstprzypisukocowegoZnak"/>
    <w:uiPriority w:val="99"/>
    <w:semiHidden/>
    <w:unhideWhenUsed/>
    <w:rsid w:val="00B97EFF"/>
    <w:pPr>
      <w:spacing w:after="0" w:line="240" w:lineRule="auto"/>
    </w:pPr>
    <w:rPr>
      <w:sz w:val="20"/>
      <w:szCs w:val="20"/>
    </w:rPr>
  </w:style>
  <w:style w:type="paragraph" w:styleId="Tekstkomentarza">
    <w:name w:val="annotation text"/>
    <w:basedOn w:val="Normalny"/>
    <w:link w:val="TekstkomentarzaZnak"/>
    <w:uiPriority w:val="99"/>
    <w:semiHidden/>
    <w:unhideWhenUsed/>
    <w:qFormat/>
    <w:rsid w:val="00361D57"/>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361D57"/>
    <w:rPr>
      <w:b/>
      <w:bCs/>
    </w:rPr>
  </w:style>
  <w:style w:type="paragraph" w:styleId="Tekstdymka">
    <w:name w:val="Balloon Text"/>
    <w:basedOn w:val="Normalny"/>
    <w:link w:val="TekstdymkaZnak"/>
    <w:uiPriority w:val="99"/>
    <w:semiHidden/>
    <w:unhideWhenUsed/>
    <w:qFormat/>
    <w:rsid w:val="00361D57"/>
    <w:pPr>
      <w:spacing w:after="0" w:line="240" w:lineRule="auto"/>
    </w:pPr>
    <w:rPr>
      <w:rFonts w:ascii="Segoe UI" w:hAnsi="Segoe UI" w:cs="Segoe UI"/>
      <w:sz w:val="18"/>
      <w:szCs w:val="18"/>
    </w:rPr>
  </w:style>
  <w:style w:type="paragraph" w:styleId="Stopka">
    <w:name w:val="footer"/>
    <w:basedOn w:val="Normalny"/>
    <w:link w:val="StopkaZnak"/>
    <w:uiPriority w:val="99"/>
    <w:unhideWhenUsed/>
    <w:rsid w:val="0059763B"/>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59763B"/>
  </w:style>
  <w:style w:type="character" w:styleId="Wyrnieniedelikatne">
    <w:name w:val="Subtle Emphasis"/>
    <w:uiPriority w:val="19"/>
    <w:qFormat/>
    <w:rsid w:val="005F2B0A"/>
    <w:rPr>
      <w:i/>
      <w:iCs/>
      <w:color w:val="404040"/>
    </w:rPr>
  </w:style>
  <w:style w:type="character" w:customStyle="1" w:styleId="NagwekZnak">
    <w:name w:val="Nagłówek Znak"/>
    <w:basedOn w:val="Domylnaczcionkaakapitu"/>
    <w:link w:val="Nagwek"/>
    <w:uiPriority w:val="99"/>
    <w:qFormat/>
    <w:rsid w:val="00FA253F"/>
    <w:rPr>
      <w:rFonts w:ascii="Liberation Sans" w:eastAsia="Microsoft YaHei" w:hAnsi="Liberation Sans" w:cs="Arial"/>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2267</Words>
  <Characters>13605</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Clico</Company>
  <LinksUpToDate>false</LinksUpToDate>
  <CharactersWithSpaces>15841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Sławomir Karaś</dc:creator>
  <dc:description/>
  <cp:lastModifiedBy>Joanna Podsiadlik</cp:lastModifiedBy>
  <cp:revision>2</cp:revision>
  <cp:lastPrinted>2023-03-06T11:52:00Z</cp:lastPrinted>
  <dcterms:created xsi:type="dcterms:W3CDTF">2023-03-06T12:20:00Z</dcterms:created>
  <dcterms:modified xsi:type="dcterms:W3CDTF">2023-03-06T12:20:00Z</dcterms:modified>
  <dc:language>pl-PL</dc:language>
</cp:coreProperties>
</file>