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D457EB" w:rsidRPr="00D457EB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457EB" w:rsidRPr="00C14101" w:rsidTr="0021130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457EB" w:rsidRPr="00C14101" w:rsidRDefault="00D457EB" w:rsidP="0021130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D457EB" w:rsidRPr="00C14101" w:rsidRDefault="00D457EB" w:rsidP="00211304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457EB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D457EB" w:rsidRPr="00C14101" w:rsidRDefault="00D457EB" w:rsidP="002113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D457EB" w:rsidRPr="00C14101" w:rsidRDefault="00D457EB" w:rsidP="002113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D457E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457EB">
        <w:rPr>
          <w:rFonts w:ascii="Arial" w:eastAsia="Times New Roman" w:hAnsi="Arial" w:cs="Arial"/>
          <w:b/>
          <w:sz w:val="24"/>
          <w:szCs w:val="24"/>
          <w:lang w:eastAsia="pl-PL"/>
        </w:rPr>
        <w:t>Dostawa przełączników sieciowych szkieletowych dla MSK CzestMAN w ramach projektu PRACE-LAB nr POIR.04.02.00-00-B001/18 pt. „PRACE-Współpraca w zakresie zaawansowanych obliczeń w Europie”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D457EB" w:rsidRPr="00D457EB">
        <w:rPr>
          <w:rFonts w:ascii="Arial" w:eastAsia="Times New Roman" w:hAnsi="Arial" w:cs="Arial"/>
          <w:b/>
          <w:sz w:val="24"/>
          <w:szCs w:val="24"/>
          <w:lang w:eastAsia="pl-PL"/>
        </w:rPr>
        <w:t>RK-NZ.262.5.2023.JP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D457EB" w:rsidRPr="00D457EB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D457EB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C3C" w:rsidRDefault="00832C3C">
      <w:r>
        <w:separator/>
      </w:r>
    </w:p>
  </w:endnote>
  <w:endnote w:type="continuationSeparator" w:id="0">
    <w:p w:rsidR="00832C3C" w:rsidRDefault="00832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57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57E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7EB" w:rsidRDefault="00D457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C3C" w:rsidRDefault="00832C3C">
      <w:r>
        <w:separator/>
      </w:r>
    </w:p>
  </w:footnote>
  <w:footnote w:type="continuationSeparator" w:id="0">
    <w:p w:rsidR="00832C3C" w:rsidRDefault="00832C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7EB" w:rsidRDefault="00D457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7EB" w:rsidRDefault="00D457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7EB" w:rsidRDefault="00D457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2C3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2C3C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C662E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457EB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DD4A755-8071-466F-A293-3EED071B3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F4D87-792C-4234-8C1A-7CD49D0B4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2023-03-06T11:45:00Z</dcterms:created>
  <dcterms:modified xsi:type="dcterms:W3CDTF">2023-03-06T11:45:00Z</dcterms:modified>
</cp:coreProperties>
</file>