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0E9B" w:rsidRPr="00D91876" w:rsidRDefault="00273790" w:rsidP="00D91876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D91876">
        <w:rPr>
          <w:rFonts w:cs="Arial"/>
          <w:sz w:val="24"/>
          <w:szCs w:val="24"/>
        </w:rPr>
        <w:t>Opis przedmiotu zamówienia</w:t>
      </w:r>
      <w:r w:rsidR="009A0E9B" w:rsidRPr="00D91876">
        <w:rPr>
          <w:rFonts w:cs="Arial"/>
          <w:sz w:val="24"/>
          <w:szCs w:val="24"/>
        </w:rPr>
        <w:t xml:space="preserve"> </w:t>
      </w:r>
      <w:r w:rsidR="00D91876" w:rsidRPr="00D91876">
        <w:rPr>
          <w:rFonts w:cs="Arial"/>
          <w:sz w:val="24"/>
          <w:szCs w:val="24"/>
        </w:rPr>
        <w:t>– zadanie nr 15</w:t>
      </w:r>
    </w:p>
    <w:p w:rsidR="009A0E9B" w:rsidRPr="00D91876" w:rsidRDefault="009A0E9B" w:rsidP="00D91876">
      <w:pPr>
        <w:spacing w:line="360" w:lineRule="auto"/>
        <w:jc w:val="center"/>
        <w:rPr>
          <w:rFonts w:cs="Arial"/>
          <w:sz w:val="24"/>
          <w:szCs w:val="24"/>
        </w:rPr>
      </w:pPr>
      <w:r w:rsidRPr="00D91876">
        <w:rPr>
          <w:rFonts w:cs="Arial"/>
          <w:sz w:val="24"/>
          <w:szCs w:val="24"/>
        </w:rPr>
        <w:t>Krzesło obrotowe</w:t>
      </w:r>
      <w:r w:rsidR="00CF70FF">
        <w:rPr>
          <w:rFonts w:cs="Arial"/>
          <w:sz w:val="24"/>
          <w:szCs w:val="24"/>
        </w:rPr>
        <w:t xml:space="preserve"> – 1 szt</w:t>
      </w:r>
    </w:p>
    <w:p w:rsidR="00A65C38" w:rsidRPr="00D91876" w:rsidRDefault="00A65C38" w:rsidP="00D91876">
      <w:pPr>
        <w:pStyle w:val="Akapitzlist"/>
        <w:spacing w:line="360" w:lineRule="auto"/>
        <w:rPr>
          <w:rFonts w:cs="Arial"/>
          <w:b/>
          <w:sz w:val="24"/>
          <w:szCs w:val="24"/>
        </w:rPr>
      </w:pPr>
    </w:p>
    <w:p w:rsidR="00A65C38" w:rsidRPr="00D91876" w:rsidRDefault="00A65C38" w:rsidP="00D91876">
      <w:pPr>
        <w:numPr>
          <w:ilvl w:val="0"/>
          <w:numId w:val="2"/>
        </w:numPr>
        <w:spacing w:line="360" w:lineRule="auto"/>
        <w:rPr>
          <w:rFonts w:eastAsia="Times New Roman" w:cs="Arial"/>
          <w:sz w:val="24"/>
          <w:szCs w:val="24"/>
        </w:rPr>
      </w:pPr>
      <w:r w:rsidRPr="00D91876">
        <w:rPr>
          <w:rFonts w:eastAsia="Times New Roman" w:cs="Arial"/>
          <w:sz w:val="24"/>
          <w:szCs w:val="24"/>
        </w:rPr>
        <w:t xml:space="preserve">ergonomiczne z podłokietnikami z regulacją wysokości z miękką nakładką z przesuwem </w:t>
      </w:r>
    </w:p>
    <w:p w:rsidR="00A65C38" w:rsidRPr="00D91876" w:rsidRDefault="00A65C38" w:rsidP="00D91876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eastAsia="Times New Roman" w:cs="Arial"/>
          <w:sz w:val="24"/>
          <w:szCs w:val="24"/>
        </w:rPr>
      </w:pPr>
      <w:r w:rsidRPr="00D91876">
        <w:rPr>
          <w:rFonts w:eastAsia="Times New Roman" w:cs="Arial"/>
          <w:sz w:val="24"/>
          <w:szCs w:val="24"/>
        </w:rPr>
        <w:t xml:space="preserve">wymiary siedziska: (szer. x głęb.) 46cm x 46cm (minimum), </w:t>
      </w:r>
    </w:p>
    <w:p w:rsidR="00A65C38" w:rsidRPr="00D91876" w:rsidRDefault="00A65C38" w:rsidP="00D91876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eastAsia="Times New Roman" w:cs="Arial"/>
          <w:sz w:val="24"/>
          <w:szCs w:val="24"/>
        </w:rPr>
      </w:pPr>
      <w:r w:rsidRPr="00D91876">
        <w:rPr>
          <w:rFonts w:eastAsia="Times New Roman" w:cs="Arial"/>
          <w:sz w:val="24"/>
          <w:szCs w:val="24"/>
        </w:rPr>
        <w:t>siedzisko i oparcie na piance poliuretanowej z wyraźnym profilowaniem zdrowotnym, wyprofilowanie płyty siedziska i oparcia odpowiednie do naturalnego wygięcia kręgosłupa i odcinka udowego kończyn dolnych,</w:t>
      </w:r>
    </w:p>
    <w:p w:rsidR="00A65C38" w:rsidRPr="00D91876" w:rsidRDefault="00A65C38" w:rsidP="00D91876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eastAsia="Times New Roman" w:cs="Arial"/>
          <w:sz w:val="24"/>
          <w:szCs w:val="24"/>
        </w:rPr>
      </w:pPr>
      <w:r w:rsidRPr="00D91876">
        <w:rPr>
          <w:rFonts w:eastAsia="Times New Roman" w:cs="Arial"/>
          <w:sz w:val="24"/>
          <w:szCs w:val="24"/>
        </w:rPr>
        <w:t xml:space="preserve">oparcie odchylające się razem z siedziskiem, </w:t>
      </w:r>
    </w:p>
    <w:p w:rsidR="00A65C38" w:rsidRPr="00D91876" w:rsidRDefault="00A65C38" w:rsidP="00D91876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eastAsia="Times New Roman" w:cs="Arial"/>
          <w:sz w:val="24"/>
          <w:szCs w:val="24"/>
        </w:rPr>
      </w:pPr>
      <w:r w:rsidRPr="00D91876">
        <w:rPr>
          <w:rFonts w:eastAsia="Times New Roman" w:cs="Arial"/>
          <w:sz w:val="24"/>
          <w:szCs w:val="24"/>
        </w:rPr>
        <w:t>mechanizm synchroniczny z blokadą w min. 5 pozycjach  nachylenia oparcia</w:t>
      </w:r>
    </w:p>
    <w:p w:rsidR="00A65C38" w:rsidRPr="00D91876" w:rsidRDefault="00A65C38" w:rsidP="00D91876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eastAsia="Times New Roman" w:cs="Arial"/>
          <w:sz w:val="24"/>
          <w:szCs w:val="24"/>
        </w:rPr>
      </w:pPr>
      <w:r w:rsidRPr="00D91876">
        <w:rPr>
          <w:rFonts w:eastAsia="Times New Roman" w:cs="Arial"/>
          <w:sz w:val="24"/>
          <w:szCs w:val="24"/>
        </w:rPr>
        <w:t>zabezpieczenie przed uderzeniem oparcia w plecy użytkownika,</w:t>
      </w:r>
    </w:p>
    <w:p w:rsidR="00A65C38" w:rsidRPr="00D91876" w:rsidRDefault="00A65C38" w:rsidP="00D91876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eastAsia="Times New Roman" w:cs="Arial"/>
          <w:sz w:val="24"/>
          <w:szCs w:val="24"/>
        </w:rPr>
      </w:pPr>
      <w:r w:rsidRPr="00D91876">
        <w:rPr>
          <w:rFonts w:eastAsia="Times New Roman" w:cs="Arial"/>
          <w:sz w:val="24"/>
          <w:szCs w:val="24"/>
        </w:rPr>
        <w:t>możliwość obrotu wokół osi pionowej o 360</w:t>
      </w:r>
      <w:r w:rsidRPr="00D91876">
        <w:rPr>
          <w:rFonts w:eastAsia="Times New Roman" w:cs="Arial"/>
          <w:sz w:val="24"/>
          <w:szCs w:val="24"/>
          <w:vertAlign w:val="superscript"/>
        </w:rPr>
        <w:t>o</w:t>
      </w:r>
      <w:r w:rsidRPr="00D91876">
        <w:rPr>
          <w:rFonts w:eastAsia="Times New Roman" w:cs="Arial"/>
          <w:sz w:val="24"/>
          <w:szCs w:val="24"/>
        </w:rPr>
        <w:t xml:space="preserve"> , - podstawa 5-ramienna nylonowa w kolorze czarnym, kółka do twardych powierzchni</w:t>
      </w:r>
    </w:p>
    <w:p w:rsidR="00A65C38" w:rsidRPr="00D91876" w:rsidRDefault="00A65C38" w:rsidP="00D91876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eastAsia="Times New Roman" w:cs="Arial"/>
          <w:sz w:val="24"/>
          <w:szCs w:val="24"/>
        </w:rPr>
      </w:pPr>
      <w:r w:rsidRPr="00D91876">
        <w:rPr>
          <w:rFonts w:eastAsia="Times New Roman" w:cs="Arial"/>
          <w:sz w:val="24"/>
          <w:szCs w:val="24"/>
        </w:rPr>
        <w:t xml:space="preserve">wytrzymała tapicerka z atestem trudnopalności i odporności na ścieralność min. 160 tys. cykli </w:t>
      </w:r>
      <w:proofErr w:type="spellStart"/>
      <w:r w:rsidRPr="00D91876">
        <w:rPr>
          <w:rFonts w:eastAsia="Times New Roman" w:cs="Arial"/>
          <w:sz w:val="24"/>
          <w:szCs w:val="24"/>
        </w:rPr>
        <w:t>Martindale’a</w:t>
      </w:r>
      <w:proofErr w:type="spellEnd"/>
      <w:r w:rsidRPr="00D91876">
        <w:rPr>
          <w:rFonts w:eastAsia="Times New Roman" w:cs="Arial"/>
          <w:sz w:val="24"/>
          <w:szCs w:val="24"/>
        </w:rPr>
        <w:t xml:space="preserve">. </w:t>
      </w:r>
    </w:p>
    <w:p w:rsidR="007F0502" w:rsidRPr="00D91876" w:rsidRDefault="00A65C38" w:rsidP="00D91876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eastAsia="Times New Roman" w:cs="Arial"/>
          <w:sz w:val="24"/>
          <w:szCs w:val="24"/>
        </w:rPr>
      </w:pPr>
      <w:r w:rsidRPr="00D91876">
        <w:rPr>
          <w:rFonts w:eastAsia="Times New Roman" w:cs="Arial"/>
          <w:sz w:val="24"/>
          <w:szCs w:val="24"/>
        </w:rPr>
        <w:t>Kolor tapicerki – zielono-czarny, zielony lub ciemny szary</w:t>
      </w:r>
      <w:r w:rsidR="007F0502" w:rsidRPr="00D91876">
        <w:rPr>
          <w:rFonts w:eastAsia="Times New Roman" w:cs="Arial"/>
          <w:sz w:val="24"/>
          <w:szCs w:val="24"/>
        </w:rPr>
        <w:t xml:space="preserve"> </w:t>
      </w:r>
    </w:p>
    <w:p w:rsidR="007F0502" w:rsidRPr="00D91876" w:rsidRDefault="007F0502" w:rsidP="00D91876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eastAsia="Times New Roman" w:cs="Arial"/>
          <w:sz w:val="24"/>
          <w:szCs w:val="24"/>
        </w:rPr>
      </w:pPr>
      <w:r w:rsidRPr="00D91876">
        <w:rPr>
          <w:rFonts w:eastAsia="Times New Roman" w:cs="Arial"/>
          <w:sz w:val="24"/>
          <w:szCs w:val="24"/>
        </w:rPr>
        <w:t>Płynnie regulowana wysokość siedziska za pomocą podnośnika pneumatycznego. góra/dół (dźwignia)</w:t>
      </w:r>
    </w:p>
    <w:p w:rsidR="007F0502" w:rsidRPr="00D91876" w:rsidRDefault="007F0502" w:rsidP="00D91876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eastAsia="Times New Roman" w:cs="Arial"/>
          <w:sz w:val="24"/>
          <w:szCs w:val="24"/>
        </w:rPr>
      </w:pPr>
      <w:r w:rsidRPr="00D91876">
        <w:rPr>
          <w:rFonts w:eastAsia="Times New Roman" w:cs="Arial"/>
          <w:sz w:val="24"/>
          <w:szCs w:val="24"/>
        </w:rPr>
        <w:t xml:space="preserve">zmienny kąt nachylenia oparcia </w:t>
      </w:r>
    </w:p>
    <w:p w:rsidR="007F0502" w:rsidRPr="00D91876" w:rsidRDefault="007F0502" w:rsidP="00D91876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eastAsia="Times New Roman" w:cs="Arial"/>
          <w:sz w:val="24"/>
          <w:szCs w:val="24"/>
        </w:rPr>
      </w:pPr>
      <w:r w:rsidRPr="00D91876">
        <w:rPr>
          <w:rFonts w:eastAsia="Times New Roman" w:cs="Arial"/>
          <w:sz w:val="24"/>
          <w:szCs w:val="24"/>
        </w:rPr>
        <w:t xml:space="preserve">profilowanie oparcia pionowe oraz poziome </w:t>
      </w:r>
    </w:p>
    <w:p w:rsidR="00A65C38" w:rsidRPr="00D91876" w:rsidRDefault="007F0502" w:rsidP="00D91876">
      <w:pPr>
        <w:numPr>
          <w:ilvl w:val="0"/>
          <w:numId w:val="2"/>
        </w:numPr>
        <w:spacing w:before="100" w:beforeAutospacing="1" w:after="100" w:afterAutospacing="1" w:line="360" w:lineRule="auto"/>
        <w:rPr>
          <w:rFonts w:eastAsia="Times New Roman" w:cs="Arial"/>
          <w:sz w:val="24"/>
          <w:szCs w:val="24"/>
        </w:rPr>
      </w:pPr>
      <w:r w:rsidRPr="00D91876">
        <w:rPr>
          <w:rFonts w:eastAsia="Times New Roman" w:cs="Arial"/>
          <w:sz w:val="24"/>
          <w:szCs w:val="24"/>
        </w:rPr>
        <w:t>wyprofilowane ze szczególnym naciskiem na odcinek lędźwiowy,</w:t>
      </w:r>
    </w:p>
    <w:p w:rsidR="00A65C38" w:rsidRPr="00D91876" w:rsidRDefault="00A65C38" w:rsidP="00D91876">
      <w:pPr>
        <w:spacing w:line="360" w:lineRule="auto"/>
        <w:rPr>
          <w:rFonts w:eastAsia="Times New Roman" w:cs="Arial"/>
          <w:sz w:val="24"/>
          <w:szCs w:val="24"/>
        </w:rPr>
      </w:pPr>
      <w:r w:rsidRPr="00D91876">
        <w:rPr>
          <w:rFonts w:eastAsia="Times New Roman" w:cs="Arial"/>
          <w:sz w:val="24"/>
          <w:szCs w:val="24"/>
        </w:rPr>
        <w:t>Preferowane regulacje :</w:t>
      </w:r>
    </w:p>
    <w:p w:rsidR="00A65C38" w:rsidRPr="00D91876" w:rsidRDefault="00A65C38" w:rsidP="00D91876">
      <w:pPr>
        <w:numPr>
          <w:ilvl w:val="0"/>
          <w:numId w:val="3"/>
        </w:numPr>
        <w:spacing w:after="100" w:afterAutospacing="1" w:line="360" w:lineRule="auto"/>
        <w:rPr>
          <w:rFonts w:eastAsia="Times New Roman" w:cs="Arial"/>
          <w:sz w:val="24"/>
          <w:szCs w:val="24"/>
        </w:rPr>
      </w:pPr>
      <w:r w:rsidRPr="00D91876">
        <w:rPr>
          <w:rFonts w:eastAsia="Times New Roman" w:cs="Arial"/>
          <w:sz w:val="24"/>
          <w:szCs w:val="24"/>
        </w:rPr>
        <w:t xml:space="preserve">regulacja wysokości siedziska w zakresie co najmniej 46 – 56 cm, licząc od podłogi, </w:t>
      </w:r>
    </w:p>
    <w:p w:rsidR="00A65C38" w:rsidRPr="00D91876" w:rsidRDefault="00A65C38" w:rsidP="00D91876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eastAsia="Times New Roman" w:cs="Arial"/>
          <w:sz w:val="24"/>
          <w:szCs w:val="24"/>
        </w:rPr>
      </w:pPr>
      <w:r w:rsidRPr="00D91876">
        <w:rPr>
          <w:rFonts w:eastAsia="Times New Roman" w:cs="Arial"/>
          <w:sz w:val="24"/>
          <w:szCs w:val="24"/>
        </w:rPr>
        <w:t>regulacja wysokości oparcia oraz regulacja pochylenia oparcia do przodu i do tyłu,</w:t>
      </w:r>
      <w:r w:rsidR="007F0502" w:rsidRPr="00D91876">
        <w:rPr>
          <w:rFonts w:eastAsia="Times New Roman" w:cs="Arial"/>
          <w:sz w:val="24"/>
          <w:szCs w:val="24"/>
        </w:rPr>
        <w:t xml:space="preserve"> </w:t>
      </w:r>
    </w:p>
    <w:p w:rsidR="007F0502" w:rsidRPr="00D91876" w:rsidRDefault="007F0502" w:rsidP="00D91876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eastAsia="Times New Roman" w:cs="Arial"/>
          <w:sz w:val="24"/>
          <w:szCs w:val="24"/>
        </w:rPr>
      </w:pPr>
      <w:r w:rsidRPr="00D91876">
        <w:rPr>
          <w:rFonts w:eastAsia="Times New Roman" w:cs="Arial"/>
          <w:sz w:val="24"/>
          <w:szCs w:val="24"/>
        </w:rPr>
        <w:t xml:space="preserve">funkcję regulacji kąta oparcia do przodu </w:t>
      </w:r>
    </w:p>
    <w:p w:rsidR="00A65C38" w:rsidRPr="00D91876" w:rsidRDefault="00A65C38" w:rsidP="00D91876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eastAsia="Times New Roman" w:cs="Arial"/>
          <w:sz w:val="24"/>
          <w:szCs w:val="24"/>
        </w:rPr>
      </w:pPr>
      <w:r w:rsidRPr="00D91876">
        <w:rPr>
          <w:rFonts w:eastAsia="Times New Roman" w:cs="Arial"/>
          <w:sz w:val="24"/>
          <w:szCs w:val="24"/>
        </w:rPr>
        <w:t xml:space="preserve">regulacja siły oporu oparcia, </w:t>
      </w:r>
    </w:p>
    <w:p w:rsidR="00A65C38" w:rsidRPr="00D91876" w:rsidRDefault="00A65C38" w:rsidP="00D91876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eastAsia="Times New Roman" w:cs="Arial"/>
          <w:sz w:val="24"/>
          <w:szCs w:val="24"/>
        </w:rPr>
      </w:pPr>
      <w:r w:rsidRPr="00D91876">
        <w:rPr>
          <w:rFonts w:eastAsia="Times New Roman" w:cs="Arial"/>
          <w:sz w:val="24"/>
          <w:szCs w:val="24"/>
        </w:rPr>
        <w:lastRenderedPageBreak/>
        <w:t xml:space="preserve">regulacja odcinka lędźwiowego, </w:t>
      </w:r>
    </w:p>
    <w:p w:rsidR="00A65C38" w:rsidRDefault="00A65C38" w:rsidP="00D91876">
      <w:pPr>
        <w:numPr>
          <w:ilvl w:val="0"/>
          <w:numId w:val="3"/>
        </w:numPr>
        <w:spacing w:before="100" w:beforeAutospacing="1" w:after="100" w:afterAutospacing="1" w:line="360" w:lineRule="auto"/>
        <w:rPr>
          <w:rFonts w:eastAsia="Times New Roman" w:cs="Arial"/>
          <w:sz w:val="24"/>
          <w:szCs w:val="24"/>
        </w:rPr>
      </w:pPr>
      <w:r w:rsidRPr="00D91876">
        <w:rPr>
          <w:rFonts w:eastAsia="Times New Roman" w:cs="Arial"/>
          <w:sz w:val="24"/>
          <w:szCs w:val="24"/>
        </w:rPr>
        <w:t xml:space="preserve">mechanizmy regulacji wysokości siedziska i pochylenia oparcia powinny być łatwo dostępne i proste w obsłudze oraz tak usytuowane, by regulacji można było dokonywać w pozycji siedzącej. </w:t>
      </w:r>
    </w:p>
    <w:p w:rsidR="00D91876" w:rsidRPr="00D91876" w:rsidRDefault="00D91876" w:rsidP="00D91876">
      <w:pPr>
        <w:spacing w:line="360" w:lineRule="auto"/>
        <w:rPr>
          <w:rFonts w:eastAsia="Times New Roman" w:cs="Arial"/>
          <w:b/>
          <w:sz w:val="24"/>
          <w:szCs w:val="24"/>
        </w:rPr>
      </w:pPr>
      <w:r w:rsidRPr="00D91876">
        <w:rPr>
          <w:rFonts w:eastAsia="Times New Roman" w:cs="Arial"/>
          <w:b/>
          <w:sz w:val="24"/>
          <w:szCs w:val="24"/>
        </w:rPr>
        <w:t>Gwarancja min. 24 miesiące.</w:t>
      </w:r>
    </w:p>
    <w:p w:rsidR="00A65C38" w:rsidRPr="00D91876" w:rsidRDefault="00A65C38" w:rsidP="00D91876">
      <w:pPr>
        <w:spacing w:line="360" w:lineRule="auto"/>
        <w:rPr>
          <w:rFonts w:eastAsia="Calibri" w:cs="Arial"/>
          <w:noProof/>
          <w:sz w:val="24"/>
          <w:szCs w:val="24"/>
        </w:rPr>
      </w:pPr>
      <w:r w:rsidRPr="00D91876">
        <w:rPr>
          <w:rFonts w:eastAsia="Times New Roman" w:cs="Arial"/>
          <w:sz w:val="24"/>
          <w:szCs w:val="24"/>
          <w:u w:val="single"/>
        </w:rPr>
        <w:t>Poglądowe zdjęcie:</w:t>
      </w:r>
      <w:r w:rsidRPr="00D91876">
        <w:rPr>
          <w:rFonts w:eastAsia="Calibri" w:cs="Arial"/>
          <w:noProof/>
          <w:sz w:val="24"/>
          <w:szCs w:val="24"/>
        </w:rPr>
        <w:t xml:space="preserve"> </w:t>
      </w:r>
    </w:p>
    <w:p w:rsidR="00A65C38" w:rsidRPr="00D91876" w:rsidRDefault="00A65C38" w:rsidP="00D91876">
      <w:pPr>
        <w:spacing w:line="360" w:lineRule="auto"/>
        <w:rPr>
          <w:rFonts w:cs="Arial"/>
          <w:sz w:val="24"/>
          <w:szCs w:val="24"/>
        </w:rPr>
      </w:pPr>
    </w:p>
    <w:p w:rsidR="00A65C38" w:rsidRPr="00D91876" w:rsidRDefault="00A65C38" w:rsidP="00D91876">
      <w:pPr>
        <w:spacing w:line="360" w:lineRule="auto"/>
        <w:rPr>
          <w:rFonts w:cs="Arial"/>
          <w:sz w:val="24"/>
          <w:szCs w:val="24"/>
        </w:rPr>
      </w:pPr>
      <w:r w:rsidRPr="00D91876">
        <w:rPr>
          <w:rFonts w:cs="Arial"/>
          <w:noProof/>
          <w:sz w:val="24"/>
          <w:szCs w:val="24"/>
        </w:rPr>
        <w:drawing>
          <wp:inline distT="0" distB="0" distL="0" distR="0" wp14:anchorId="7F3ACAA5" wp14:editId="0D7D13FB">
            <wp:extent cx="4077903" cy="2981325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2885" cy="300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65C38" w:rsidRPr="00D91876" w:rsidSect="00CF70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70FF" w:rsidRDefault="00CF70FF" w:rsidP="00CF70FF">
      <w:pPr>
        <w:spacing w:line="240" w:lineRule="auto"/>
      </w:pPr>
      <w:r>
        <w:separator/>
      </w:r>
    </w:p>
  </w:endnote>
  <w:endnote w:type="continuationSeparator" w:id="0">
    <w:p w:rsidR="00CF70FF" w:rsidRDefault="00CF70FF" w:rsidP="00CF70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353" w:rsidRDefault="009843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0FF" w:rsidRPr="00CF70FF" w:rsidRDefault="00CF70FF" w:rsidP="00CF70FF">
    <w:pPr>
      <w:spacing w:line="276" w:lineRule="auto"/>
      <w:rPr>
        <w:rFonts w:ascii="Roboto" w:eastAsia="Times New Roman" w:hAnsi="Roboto"/>
        <w:b/>
        <w:bCs/>
        <w:szCs w:val="18"/>
      </w:rPr>
    </w:pPr>
    <w:r w:rsidRPr="00CF70FF">
      <w:rPr>
        <w:rFonts w:ascii="Roboto" w:eastAsia="Times New Roman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F70FF">
      <w:rPr>
        <w:rFonts w:ascii="Roboto" w:eastAsia="Times New Roman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F70FF">
      <w:rPr>
        <w:rFonts w:eastAsia="Times New Roman"/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6B0B7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4I2oA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F70FF" w:rsidRPr="00CF70FF" w:rsidTr="00E654B7">
      <w:tc>
        <w:tcPr>
          <w:tcW w:w="0" w:type="auto"/>
          <w:shd w:val="clear" w:color="auto" w:fill="auto"/>
          <w:vAlign w:val="center"/>
        </w:tcPr>
        <w:p w:rsidR="00CF70FF" w:rsidRPr="00CF70FF" w:rsidRDefault="00CF70FF" w:rsidP="00CF70FF">
          <w:pPr>
            <w:spacing w:line="240" w:lineRule="auto"/>
            <w:jc w:val="center"/>
            <w:rPr>
              <w:rFonts w:ascii="Roboto Bk" w:eastAsia="Times New Roman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F70FF" w:rsidRPr="00CF70FF" w:rsidRDefault="00CF70FF" w:rsidP="00CF70FF">
          <w:pPr>
            <w:spacing w:line="240" w:lineRule="auto"/>
            <w:jc w:val="center"/>
            <w:rPr>
              <w:rFonts w:ascii="Roboto Bk" w:eastAsia="Times New Roman" w:hAnsi="Roboto Bk"/>
              <w:b/>
              <w:bCs/>
              <w:sz w:val="18"/>
              <w:szCs w:val="18"/>
            </w:rPr>
          </w:pPr>
          <w:r w:rsidRPr="00CF70FF">
            <w:rPr>
              <w:rFonts w:ascii="Roboto Bk" w:eastAsia="Times New Roman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F70FF" w:rsidRPr="00CF70FF" w:rsidRDefault="00CF70FF" w:rsidP="00CF70FF">
          <w:pPr>
            <w:spacing w:line="240" w:lineRule="auto"/>
            <w:jc w:val="center"/>
            <w:rPr>
              <w:rFonts w:ascii="Roboto Bk" w:eastAsia="Times New Roman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F70FF" w:rsidRPr="00CF70FF" w:rsidRDefault="00CF70FF" w:rsidP="00CF70FF">
          <w:pPr>
            <w:spacing w:line="240" w:lineRule="auto"/>
            <w:jc w:val="center"/>
            <w:rPr>
              <w:rFonts w:eastAsia="Times New Roman"/>
              <w:noProof/>
            </w:rPr>
          </w:pPr>
        </w:p>
      </w:tc>
    </w:tr>
  </w:tbl>
  <w:p w:rsidR="00CF70FF" w:rsidRPr="00CF70FF" w:rsidRDefault="00CF70FF" w:rsidP="00CF70FF">
    <w:pPr>
      <w:spacing w:line="276" w:lineRule="auto"/>
      <w:rPr>
        <w:rFonts w:ascii="Roboto" w:eastAsia="Times New Roman" w:hAnsi="Roboto"/>
        <w:b/>
        <w:bCs/>
        <w:sz w:val="24"/>
        <w:szCs w:val="24"/>
      </w:rPr>
    </w:pPr>
    <w:r w:rsidRPr="00CF70FF">
      <w:rPr>
        <w:rFonts w:ascii="Roboto" w:eastAsia="Times New Roman" w:hAnsi="Roboto"/>
        <w:b/>
        <w:bCs/>
        <w:sz w:val="24"/>
        <w:szCs w:val="18"/>
      </w:rPr>
      <w:t>Kanclerz Politechniki Częstochowskiej</w:t>
    </w:r>
  </w:p>
  <w:p w:rsidR="00CF70FF" w:rsidRPr="00CF70FF" w:rsidRDefault="00CF70FF" w:rsidP="00CF70FF">
    <w:pPr>
      <w:spacing w:line="276" w:lineRule="auto"/>
      <w:rPr>
        <w:rFonts w:ascii="Roboto" w:eastAsia="Times New Roman" w:hAnsi="Roboto"/>
        <w:sz w:val="24"/>
        <w:szCs w:val="24"/>
      </w:rPr>
    </w:pPr>
    <w:r w:rsidRPr="00CF70FF">
      <w:rPr>
        <w:rFonts w:ascii="Roboto" w:eastAsia="Times New Roman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F70FF">
      <w:rPr>
        <w:rFonts w:ascii="Roboto" w:eastAsia="Times New Roman" w:hAnsi="Roboto"/>
        <w:sz w:val="24"/>
        <w:szCs w:val="24"/>
      </w:rPr>
      <w:t>ul. Gen. J.H. Dąbrowskiego 69, 42-201 Częstochowa</w:t>
    </w:r>
  </w:p>
  <w:p w:rsidR="00CF70FF" w:rsidRPr="00CF70FF" w:rsidRDefault="00CF70FF" w:rsidP="00CF70FF">
    <w:pPr>
      <w:spacing w:line="276" w:lineRule="auto"/>
      <w:rPr>
        <w:rFonts w:eastAsia="Times New Roman"/>
        <w:noProof/>
        <w:sz w:val="24"/>
        <w:szCs w:val="24"/>
      </w:rPr>
    </w:pPr>
    <w:r w:rsidRPr="00CF70FF">
      <w:rPr>
        <w:rFonts w:ascii="Roboto" w:eastAsia="Times New Roman" w:hAnsi="Roboto"/>
        <w:sz w:val="24"/>
        <w:szCs w:val="24"/>
      </w:rPr>
      <w:t>tel. +48 34 325 02 56, e-mail: kanclerz@pcz.pl</w:t>
    </w:r>
  </w:p>
  <w:p w:rsidR="00CF70FF" w:rsidRPr="00CF70FF" w:rsidRDefault="00CF70FF" w:rsidP="00984353">
    <w:pPr>
      <w:spacing w:line="240" w:lineRule="auto"/>
    </w:pPr>
    <w:r w:rsidRPr="00CF70FF">
      <w:rPr>
        <w:rFonts w:ascii="Roboto" w:eastAsia="Times New Roman" w:hAnsi="Roboto"/>
        <w:b/>
        <w:sz w:val="24"/>
        <w:szCs w:val="24"/>
      </w:rPr>
      <w:t>www.pcz.pl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353" w:rsidRDefault="009843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70FF" w:rsidRDefault="00CF70FF" w:rsidP="00CF70FF">
      <w:pPr>
        <w:spacing w:line="240" w:lineRule="auto"/>
      </w:pPr>
      <w:r>
        <w:separator/>
      </w:r>
    </w:p>
  </w:footnote>
  <w:footnote w:type="continuationSeparator" w:id="0">
    <w:p w:rsidR="00CF70FF" w:rsidRDefault="00CF70FF" w:rsidP="00CF70F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353" w:rsidRDefault="009843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0FF" w:rsidRPr="00CF70FF" w:rsidRDefault="00CF70FF" w:rsidP="00CF70FF">
    <w:pPr>
      <w:tabs>
        <w:tab w:val="center" w:pos="4536"/>
        <w:tab w:val="right" w:pos="9072"/>
      </w:tabs>
      <w:spacing w:after="160" w:line="259" w:lineRule="auto"/>
      <w:rPr>
        <w:rFonts w:eastAsia="Times New Roman"/>
      </w:rPr>
    </w:pPr>
    <w:r w:rsidRPr="00CF70FF">
      <w:rPr>
        <w:rFonts w:eastAsia="Times New Roman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F70FF">
      <w:rPr>
        <w:rFonts w:eastAsia="Times New Roman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36CF1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CF70FF" w:rsidRPr="00CF70FF" w:rsidRDefault="00CF70FF" w:rsidP="00CF70FF">
    <w:pPr>
      <w:spacing w:after="160" w:line="259" w:lineRule="auto"/>
      <w:rPr>
        <w:rFonts w:eastAsia="Times New Roman"/>
      </w:rPr>
    </w:pPr>
  </w:p>
  <w:p w:rsidR="00CF70FF" w:rsidRDefault="00CF70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353" w:rsidRDefault="009843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9B67CC"/>
    <w:multiLevelType w:val="hybridMultilevel"/>
    <w:tmpl w:val="A9BC3B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046BE4"/>
    <w:multiLevelType w:val="multilevel"/>
    <w:tmpl w:val="ABD45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3F728AC"/>
    <w:multiLevelType w:val="multilevel"/>
    <w:tmpl w:val="36C80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BBF"/>
    <w:rsid w:val="001768C9"/>
    <w:rsid w:val="00273790"/>
    <w:rsid w:val="00323BBF"/>
    <w:rsid w:val="0049442F"/>
    <w:rsid w:val="005244D8"/>
    <w:rsid w:val="005A68E6"/>
    <w:rsid w:val="007B028A"/>
    <w:rsid w:val="007F0502"/>
    <w:rsid w:val="008B6E14"/>
    <w:rsid w:val="00984353"/>
    <w:rsid w:val="009A0E9B"/>
    <w:rsid w:val="00A37F73"/>
    <w:rsid w:val="00A65C38"/>
    <w:rsid w:val="00BA5862"/>
    <w:rsid w:val="00CF70FF"/>
    <w:rsid w:val="00D56227"/>
    <w:rsid w:val="00D91876"/>
    <w:rsid w:val="00DB341E"/>
    <w:rsid w:val="00F00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007B4FE-F9F3-4537-80D6-9658339E4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2"/>
        <w:lang w:val="pl-PL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44D8"/>
    <w:rPr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244D8"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244D8"/>
    <w:pPr>
      <w:keepNext/>
      <w:spacing w:before="240" w:after="60"/>
      <w:outlineLvl w:val="1"/>
    </w:pPr>
    <w:rPr>
      <w:rFonts w:eastAsia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UnresolvedMention">
    <w:name w:val="Unresolved Mention"/>
    <w:uiPriority w:val="99"/>
    <w:semiHidden/>
    <w:unhideWhenUsed/>
    <w:rsid w:val="005244D8"/>
    <w:rPr>
      <w:color w:val="605E5C"/>
      <w:shd w:val="clear" w:color="auto" w:fill="E1DFDD"/>
    </w:rPr>
  </w:style>
  <w:style w:type="character" w:customStyle="1" w:styleId="Nagwek1Znak">
    <w:name w:val="Nagłówek 1 Znak"/>
    <w:link w:val="Nagwek1"/>
    <w:rsid w:val="005244D8"/>
    <w:rPr>
      <w:rFonts w:eastAsia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link w:val="Nagwek2"/>
    <w:uiPriority w:val="9"/>
    <w:rsid w:val="005244D8"/>
    <w:rPr>
      <w:rFonts w:eastAsia="Times New Roman"/>
      <w:b/>
      <w:bCs/>
      <w:i/>
      <w:iCs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244D8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NagwekZnak">
    <w:name w:val="Nagłówek Znak"/>
    <w:link w:val="Nagwek"/>
    <w:uiPriority w:val="99"/>
    <w:rsid w:val="005244D8"/>
    <w:rPr>
      <w:rFonts w:eastAsia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244D8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StopkaZnak">
    <w:name w:val="Stopka Znak"/>
    <w:link w:val="Stopka"/>
    <w:uiPriority w:val="99"/>
    <w:rsid w:val="005244D8"/>
    <w:rPr>
      <w:rFonts w:eastAsia="Times New Roman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5244D8"/>
    <w:pPr>
      <w:spacing w:before="240" w:after="60" w:line="240" w:lineRule="auto"/>
      <w:outlineLvl w:val="0"/>
    </w:pPr>
    <w:rPr>
      <w:rFonts w:eastAsia="Times New Roman"/>
      <w:b/>
      <w:bCs/>
      <w:color w:val="00A3B7"/>
      <w:kern w:val="28"/>
      <w:sz w:val="72"/>
      <w:szCs w:val="32"/>
    </w:rPr>
  </w:style>
  <w:style w:type="character" w:customStyle="1" w:styleId="TytuZnak">
    <w:name w:val="Tytuł Znak"/>
    <w:link w:val="Tytu"/>
    <w:uiPriority w:val="10"/>
    <w:rsid w:val="005244D8"/>
    <w:rPr>
      <w:rFonts w:eastAsia="Times New Roman"/>
      <w:b/>
      <w:bCs/>
      <w:color w:val="00A3B7"/>
      <w:kern w:val="28"/>
      <w:sz w:val="72"/>
      <w:szCs w:val="32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244D8"/>
    <w:pPr>
      <w:spacing w:after="60"/>
      <w:jc w:val="center"/>
      <w:outlineLvl w:val="1"/>
    </w:pPr>
    <w:rPr>
      <w:rFonts w:eastAsia="Times New Roman"/>
      <w:sz w:val="24"/>
      <w:szCs w:val="24"/>
    </w:rPr>
  </w:style>
  <w:style w:type="character" w:customStyle="1" w:styleId="PodtytuZnak">
    <w:name w:val="Podtytuł Znak"/>
    <w:link w:val="Podtytu"/>
    <w:uiPriority w:val="11"/>
    <w:rsid w:val="005244D8"/>
    <w:rPr>
      <w:rFonts w:eastAsia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5244D8"/>
    <w:rPr>
      <w:color w:val="0563C1"/>
      <w:u w:val="single"/>
    </w:rPr>
  </w:style>
  <w:style w:type="character" w:styleId="Pogrubienie">
    <w:name w:val="Strong"/>
    <w:uiPriority w:val="22"/>
    <w:qFormat/>
    <w:rsid w:val="005244D8"/>
    <w:rPr>
      <w:rFonts w:cs="Times New Roman"/>
      <w:b/>
      <w:bCs/>
    </w:rPr>
  </w:style>
  <w:style w:type="character" w:styleId="Uwydatnienie">
    <w:name w:val="Emphasis"/>
    <w:uiPriority w:val="20"/>
    <w:qFormat/>
    <w:rsid w:val="005244D8"/>
    <w:rPr>
      <w:rFonts w:cs="Times New Roman"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44D8"/>
    <w:pPr>
      <w:spacing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5244D8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5244D8"/>
    <w:rPr>
      <w:rFonts w:eastAsia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5244D8"/>
    <w:rPr>
      <w:rFonts w:eastAsia="Times New Roman"/>
      <w:lang w:eastAsia="pl-PL"/>
    </w:rPr>
  </w:style>
  <w:style w:type="character" w:styleId="Wyrnieniedelikatne">
    <w:name w:val="Subtle Emphasis"/>
    <w:uiPriority w:val="19"/>
    <w:qFormat/>
    <w:rsid w:val="005244D8"/>
    <w:rPr>
      <w:rFonts w:cs="Times New Roman"/>
      <w:i/>
      <w:iCs/>
      <w:color w:val="404040"/>
    </w:rPr>
  </w:style>
  <w:style w:type="character" w:styleId="Wyrnienieintensywne">
    <w:name w:val="Intense Emphasis"/>
    <w:uiPriority w:val="21"/>
    <w:qFormat/>
    <w:rsid w:val="005244D8"/>
    <w:rPr>
      <w:rFonts w:cs="Times New Roman"/>
      <w:i/>
      <w:iCs/>
      <w:color w:val="4472C4"/>
    </w:rPr>
  </w:style>
  <w:style w:type="paragraph" w:styleId="Adresnakopercie">
    <w:name w:val="envelope address"/>
    <w:basedOn w:val="Normalny"/>
    <w:uiPriority w:val="99"/>
    <w:semiHidden/>
    <w:unhideWhenUsed/>
    <w:rsid w:val="00DB341E"/>
    <w:pPr>
      <w:framePr w:w="7920" w:h="1980" w:hRule="exact" w:hSpace="141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F00C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236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SWF</dc:creator>
  <cp:keywords/>
  <dc:description/>
  <cp:lastModifiedBy>Maria Taranek-Totoś</cp:lastModifiedBy>
  <cp:revision>2</cp:revision>
  <cp:lastPrinted>2022-09-28T10:27:00Z</cp:lastPrinted>
  <dcterms:created xsi:type="dcterms:W3CDTF">2022-10-12T08:45:00Z</dcterms:created>
  <dcterms:modified xsi:type="dcterms:W3CDTF">2022-10-12T08:45:00Z</dcterms:modified>
</cp:coreProperties>
</file>