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80" w:rsidRPr="00E938EC" w:rsidRDefault="009B49A8" w:rsidP="00E938E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RK-NZ.261.</w:t>
      </w:r>
      <w:r w:rsidR="00E938EC" w:rsidRPr="00E938EC">
        <w:rPr>
          <w:rFonts w:ascii="Arial" w:hAnsi="Arial" w:cs="Arial"/>
          <w:b/>
          <w:sz w:val="24"/>
          <w:szCs w:val="24"/>
        </w:rPr>
        <w:t>75</w:t>
      </w:r>
      <w:r w:rsidR="00772B80" w:rsidRPr="00E938EC">
        <w:rPr>
          <w:rFonts w:ascii="Arial" w:hAnsi="Arial" w:cs="Arial"/>
          <w:b/>
          <w:sz w:val="24"/>
          <w:szCs w:val="24"/>
        </w:rPr>
        <w:t xml:space="preserve">.2022.JP </w:t>
      </w:r>
    </w:p>
    <w:p w:rsidR="008B2C6E" w:rsidRPr="00E938EC" w:rsidRDefault="00112D69" w:rsidP="00E938E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Załącznik</w:t>
      </w:r>
      <w:r w:rsidR="001549B8" w:rsidRPr="00E938EC">
        <w:rPr>
          <w:rFonts w:ascii="Arial" w:hAnsi="Arial" w:cs="Arial"/>
          <w:b/>
          <w:sz w:val="24"/>
          <w:szCs w:val="24"/>
        </w:rPr>
        <w:t xml:space="preserve"> -</w:t>
      </w:r>
      <w:r w:rsidRPr="00E938EC">
        <w:rPr>
          <w:rFonts w:ascii="Arial" w:hAnsi="Arial" w:cs="Arial"/>
          <w:b/>
          <w:sz w:val="24"/>
          <w:szCs w:val="24"/>
        </w:rPr>
        <w:t xml:space="preserve"> Szczegółowy op</w:t>
      </w:r>
      <w:r w:rsidR="001A30AD" w:rsidRPr="00E938EC">
        <w:rPr>
          <w:rFonts w:ascii="Arial" w:hAnsi="Arial" w:cs="Arial"/>
          <w:b/>
          <w:sz w:val="24"/>
          <w:szCs w:val="24"/>
        </w:rPr>
        <w:t xml:space="preserve">is przedmiotu zamówienia </w:t>
      </w:r>
    </w:p>
    <w:p w:rsidR="007549EA" w:rsidRPr="00E938EC" w:rsidRDefault="007549EA" w:rsidP="00E938EC">
      <w:pPr>
        <w:pStyle w:val="Nagwek1"/>
        <w:spacing w:line="360" w:lineRule="auto"/>
        <w:jc w:val="left"/>
        <w:rPr>
          <w:rFonts w:ascii="Arial" w:hAnsi="Arial" w:cs="Arial"/>
          <w:u w:val="single"/>
        </w:rPr>
      </w:pPr>
      <w:r w:rsidRPr="00E938EC">
        <w:rPr>
          <w:rFonts w:ascii="Arial" w:hAnsi="Arial" w:cs="Arial"/>
          <w:color w:val="000000"/>
          <w:u w:val="single"/>
        </w:rPr>
        <w:t xml:space="preserve">Zadanie 1. </w:t>
      </w:r>
      <w:r w:rsidR="00E938EC" w:rsidRPr="00E938EC">
        <w:rPr>
          <w:rFonts w:ascii="Arial" w:hAnsi="Arial" w:cs="Arial"/>
          <w:u w:val="single"/>
        </w:rPr>
        <w:t>Dostawa 40 terminali, serwera wraz z oprogramowaniem i licencjami dla Wydziału Zarządzania</w:t>
      </w:r>
      <w:r w:rsidRPr="00E938EC">
        <w:rPr>
          <w:rFonts w:ascii="Arial" w:hAnsi="Arial" w:cs="Arial"/>
          <w:u w:val="single"/>
        </w:rPr>
        <w:t>.</w:t>
      </w:r>
    </w:p>
    <w:p w:rsidR="007549EA" w:rsidRPr="00E938EC" w:rsidRDefault="007549EA" w:rsidP="00E938E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  <w:lang w:eastAsia="pl-PL"/>
        </w:rPr>
      </w:pPr>
      <w:r w:rsidRPr="00E938EC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Zadanie 2. </w:t>
      </w:r>
      <w:r w:rsidR="00E938EC" w:rsidRPr="00E938EC">
        <w:rPr>
          <w:rFonts w:ascii="Arial" w:hAnsi="Arial" w:cs="Arial"/>
          <w:b/>
          <w:sz w:val="24"/>
          <w:szCs w:val="24"/>
          <w:u w:val="single"/>
        </w:rPr>
        <w:t>Sprzęt komputerowy dla Wydziału Budownictwa</w:t>
      </w:r>
      <w:r w:rsidRPr="00E938EC">
        <w:rPr>
          <w:rFonts w:ascii="Arial" w:hAnsi="Arial" w:cs="Arial"/>
          <w:b/>
          <w:sz w:val="24"/>
          <w:szCs w:val="24"/>
          <w:u w:val="single"/>
        </w:rPr>
        <w:t>.</w:t>
      </w:r>
    </w:p>
    <w:p w:rsidR="007549EA" w:rsidRPr="00E938EC" w:rsidRDefault="007549EA" w:rsidP="00E938E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938EC">
        <w:rPr>
          <w:rFonts w:ascii="Arial" w:hAnsi="Arial" w:cs="Arial"/>
          <w:b/>
          <w:sz w:val="24"/>
          <w:szCs w:val="24"/>
          <w:u w:val="single"/>
          <w:lang w:eastAsia="pl-PL"/>
        </w:rPr>
        <w:t xml:space="preserve">Zadanie 3. </w:t>
      </w:r>
      <w:r w:rsidR="00E938EC" w:rsidRPr="00E938EC">
        <w:rPr>
          <w:rFonts w:ascii="Arial" w:hAnsi="Arial" w:cs="Arial"/>
          <w:b/>
          <w:sz w:val="24"/>
          <w:szCs w:val="24"/>
          <w:u w:val="single"/>
        </w:rPr>
        <w:t>Minikomputer z akceleratorem GPU dla Katedry Inteligentnych Systemów Informatycznych</w:t>
      </w:r>
      <w:r w:rsidRPr="00E938EC">
        <w:rPr>
          <w:rFonts w:ascii="Arial" w:hAnsi="Arial" w:cs="Arial"/>
          <w:b/>
          <w:sz w:val="24"/>
          <w:szCs w:val="24"/>
          <w:u w:val="single"/>
        </w:rPr>
        <w:t>.</w:t>
      </w:r>
    </w:p>
    <w:p w:rsidR="007549EA" w:rsidRPr="00E938EC" w:rsidRDefault="007549EA" w:rsidP="00E938EC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E938EC" w:rsidRPr="00E938EC" w:rsidRDefault="00E938EC" w:rsidP="00E938EC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p w:rsidR="00E938EC" w:rsidRPr="00607F0E" w:rsidRDefault="00E938EC" w:rsidP="00E938EC">
      <w:pPr>
        <w:pStyle w:val="Nagwek1"/>
        <w:spacing w:line="360" w:lineRule="auto"/>
        <w:jc w:val="left"/>
        <w:rPr>
          <w:rFonts w:ascii="Arial" w:hAnsi="Arial" w:cs="Arial"/>
          <w:u w:val="single"/>
        </w:rPr>
      </w:pPr>
      <w:r w:rsidRPr="00607F0E">
        <w:rPr>
          <w:rFonts w:ascii="Arial" w:hAnsi="Arial" w:cs="Arial"/>
          <w:color w:val="000000"/>
          <w:u w:val="single"/>
        </w:rPr>
        <w:t xml:space="preserve">Zadanie 1. </w:t>
      </w:r>
      <w:r w:rsidRPr="00607F0E">
        <w:rPr>
          <w:rFonts w:ascii="Arial" w:hAnsi="Arial" w:cs="Arial"/>
          <w:u w:val="single"/>
        </w:rPr>
        <w:t>Dostawa 40 terminali, serwera wraz z oprogramowaniem i licencjami dla Wydziału Zarządzania.</w:t>
      </w:r>
    </w:p>
    <w:tbl>
      <w:tblPr>
        <w:tblW w:w="9212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9212"/>
      </w:tblGrid>
      <w:tr w:rsidR="00E938EC" w:rsidRPr="00E938EC" w:rsidTr="002E6EF6">
        <w:tc>
          <w:tcPr>
            <w:tcW w:w="9212" w:type="dxa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SPECYFIKACJA ZAMAWIANEGO SPRZĘTU </w:t>
            </w:r>
          </w:p>
        </w:tc>
      </w:tr>
    </w:tbl>
    <w:p w:rsidR="00E938EC" w:rsidRPr="00E938EC" w:rsidRDefault="00E938EC" w:rsidP="00607F0E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938EC">
        <w:rPr>
          <w:rFonts w:ascii="Arial" w:hAnsi="Arial" w:cs="Arial"/>
          <w:color w:val="1F497D"/>
          <w:sz w:val="24"/>
          <w:szCs w:val="24"/>
        </w:rPr>
        <w:t> </w:t>
      </w:r>
      <w:r w:rsidRPr="00E938EC">
        <w:rPr>
          <w:rFonts w:ascii="Arial" w:hAnsi="Arial" w:cs="Arial"/>
          <w:color w:val="000000" w:themeColor="text1"/>
          <w:sz w:val="24"/>
          <w:szCs w:val="24"/>
        </w:rPr>
        <w:t>Przedmiot Zamówienia obejmuje również kompletne:</w:t>
      </w:r>
    </w:p>
    <w:p w:rsidR="00E938EC" w:rsidRPr="00E938EC" w:rsidRDefault="00E938EC" w:rsidP="00E938EC">
      <w:pPr>
        <w:pStyle w:val="Akapitzlist"/>
        <w:numPr>
          <w:ilvl w:val="0"/>
          <w:numId w:val="36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938EC">
        <w:rPr>
          <w:rFonts w:ascii="Arial" w:hAnsi="Arial" w:cs="Arial"/>
          <w:color w:val="000000" w:themeColor="text1"/>
          <w:sz w:val="24"/>
          <w:szCs w:val="24"/>
        </w:rPr>
        <w:t>Instalacje sprzętu i oprogramowania</w:t>
      </w:r>
    </w:p>
    <w:p w:rsidR="00E938EC" w:rsidRPr="00E938EC" w:rsidRDefault="00E938EC" w:rsidP="00E938EC">
      <w:pPr>
        <w:pStyle w:val="Akapitzlist"/>
        <w:numPr>
          <w:ilvl w:val="0"/>
          <w:numId w:val="36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938EC">
        <w:rPr>
          <w:rFonts w:ascii="Arial" w:hAnsi="Arial" w:cs="Arial"/>
          <w:color w:val="000000" w:themeColor="text1"/>
          <w:sz w:val="24"/>
          <w:szCs w:val="24"/>
        </w:rPr>
        <w:t>Konfiguracje sprzętu i obramowania</w:t>
      </w:r>
    </w:p>
    <w:p w:rsidR="00E938EC" w:rsidRPr="00E938EC" w:rsidRDefault="00E938EC" w:rsidP="00E938EC">
      <w:pPr>
        <w:pStyle w:val="Akapitzlist"/>
        <w:numPr>
          <w:ilvl w:val="0"/>
          <w:numId w:val="36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938EC">
        <w:rPr>
          <w:rFonts w:ascii="Arial" w:hAnsi="Arial" w:cs="Arial"/>
          <w:color w:val="000000" w:themeColor="text1"/>
          <w:sz w:val="24"/>
          <w:szCs w:val="24"/>
        </w:rPr>
        <w:t>Szkolenie dla pracowników</w:t>
      </w:r>
    </w:p>
    <w:p w:rsidR="00E938EC" w:rsidRPr="00E938EC" w:rsidRDefault="00E938EC" w:rsidP="00E938EC">
      <w:pPr>
        <w:pStyle w:val="Akapitzlist"/>
        <w:numPr>
          <w:ilvl w:val="0"/>
          <w:numId w:val="36"/>
        </w:num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938EC">
        <w:rPr>
          <w:rFonts w:ascii="Arial" w:hAnsi="Arial" w:cs="Arial"/>
          <w:color w:val="000000" w:themeColor="text1"/>
          <w:sz w:val="24"/>
          <w:szCs w:val="24"/>
        </w:rPr>
        <w:t>Weryfikację poprawnego działania</w:t>
      </w:r>
    </w:p>
    <w:p w:rsidR="00E938EC" w:rsidRPr="00E938EC" w:rsidRDefault="00E938EC" w:rsidP="00E938EC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938EC">
        <w:rPr>
          <w:rFonts w:ascii="Arial" w:hAnsi="Arial" w:cs="Arial"/>
          <w:color w:val="000000" w:themeColor="text1"/>
          <w:sz w:val="24"/>
          <w:szCs w:val="24"/>
        </w:rPr>
        <w:t>2. Sprzęt musi być fabrycznie nowy, nieużywany, w pełni sprawny technicznie, wolny od wad, nie regenerowany, nie powystawowy i gotowy do użycia bez żadnych dodatkowych inwestycji Zamawiającego. Oferowany sprzęt musi spełniać wymogi bezpieczeństwa wynikające z obowiązujących na terytorium Rzeczypospolitej Polskiej przepisów w tym zakresie oraz musi – jeśli dotyczy - posiadać odpowiednie wymagane prawem polskim atesty, certyfikaty, zezwolenia świadectwa jakości, instrukcje obsługi w języku polskim i spełniać wszelkie wymogi norm określonych obowiązującym prawem i niezbędne instrukcje w języku polskim.</w:t>
      </w:r>
    </w:p>
    <w:p w:rsidR="00E938EC" w:rsidRPr="00E938EC" w:rsidRDefault="00E938EC" w:rsidP="00E938EC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938EC">
        <w:rPr>
          <w:rFonts w:ascii="Arial" w:hAnsi="Arial" w:cs="Arial"/>
          <w:color w:val="000000" w:themeColor="text1"/>
          <w:sz w:val="24"/>
          <w:szCs w:val="24"/>
        </w:rPr>
        <w:t xml:space="preserve">3. Zawarte w opisie przedmiotu Zamówienia  informacje na temat parametrów i funkcji sprzętu są danymi minimalnymi - Zamawiający dopuszcza zaoferowanie </w:t>
      </w:r>
      <w:r w:rsidRPr="00E938EC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produktów o rozszerzonych funkcjach i lepszych parametrach, pod warunkiem, iż spełniają one minimalne wymagania określone w niniejszym Zamówieniu. </w:t>
      </w:r>
    </w:p>
    <w:p w:rsidR="00E938EC" w:rsidRPr="00E938EC" w:rsidRDefault="00E938EC" w:rsidP="00E938E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938EC">
        <w:rPr>
          <w:rFonts w:ascii="Arial" w:hAnsi="Arial" w:cs="Arial"/>
          <w:color w:val="000000" w:themeColor="text1"/>
          <w:sz w:val="24"/>
          <w:szCs w:val="24"/>
        </w:rPr>
        <w:t>4. Okablowanie sieciowe zostanie wykonane po stronie Zamawiającego (pomiędzy serwerem a gniazdem, zakończone wtykiem RJ45. Okablowanie gniazdo-terminal po stronie Dostawcy.</w:t>
      </w:r>
    </w:p>
    <w:p w:rsidR="00E938EC" w:rsidRPr="00E938EC" w:rsidRDefault="00E938EC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  <w:r>
        <w:rPr>
          <w:rFonts w:ascii="Arial" w:eastAsia="Times New Roman" w:hAnsi="Arial" w:cs="Arial"/>
          <w:color w:val="00000A"/>
          <w:sz w:val="24"/>
          <w:szCs w:val="24"/>
        </w:rPr>
        <w:t>1.</w:t>
      </w:r>
      <w:r w:rsidRPr="00E938EC">
        <w:rPr>
          <w:rFonts w:ascii="Arial" w:eastAsia="Times New Roman" w:hAnsi="Arial" w:cs="Arial"/>
          <w:color w:val="00000A"/>
          <w:sz w:val="24"/>
          <w:szCs w:val="24"/>
        </w:rPr>
        <w:t xml:space="preserve">Serwer wraz z UPS -  do obsługi dwóch  pracowni terminalowych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535"/>
        <w:gridCol w:w="7586"/>
        <w:gridCol w:w="941"/>
      </w:tblGrid>
      <w:tr w:rsidR="00E938EC" w:rsidRPr="00E938EC" w:rsidTr="002E6EF6">
        <w:tc>
          <w:tcPr>
            <w:tcW w:w="243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Lp.</w:t>
            </w:r>
          </w:p>
        </w:tc>
        <w:tc>
          <w:tcPr>
            <w:tcW w:w="4212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Opis elementu</w:t>
            </w:r>
          </w:p>
        </w:tc>
        <w:tc>
          <w:tcPr>
            <w:tcW w:w="545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</w:t>
            </w:r>
          </w:p>
        </w:tc>
      </w:tr>
      <w:tr w:rsidR="00E938EC" w:rsidRPr="00E938EC" w:rsidTr="002E6EF6">
        <w:tc>
          <w:tcPr>
            <w:tcW w:w="243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1.</w:t>
            </w:r>
          </w:p>
        </w:tc>
        <w:tc>
          <w:tcPr>
            <w:tcW w:w="4212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Serwer  do  pracowni terminalowej o parametrach nie gorszych niż lub równoważne:</w:t>
            </w:r>
          </w:p>
          <w:p w:rsidR="00E938EC" w:rsidRPr="00E938EC" w:rsidRDefault="00E938EC" w:rsidP="00E938EC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Procesor: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posiadający  </w:t>
            </w:r>
            <w:r w:rsidRPr="00E938EC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23 100</w:t>
            </w:r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  pkt. w teście </w:t>
            </w:r>
            <w:proofErr w:type="spellStart"/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PassMark</w:t>
            </w:r>
            <w:proofErr w:type="spellEnd"/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 High End </w:t>
            </w:r>
            <w:proofErr w:type="spellStart"/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CPUs</w:t>
            </w:r>
            <w:proofErr w:type="spellEnd"/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  http://cpubenchmark.net/cpu_list.php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wraz z</w:t>
            </w: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chłodzeniem uwzględniającym pełną wydajność procesora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Płyta główna: kompatybilna z procesorem . Maksymalna liczba kanałów pamięci 2; maksymalna liczba modułów pamięci DIMM 4; obsługa pamięci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ECC</w:t>
            </w: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 DDR4 oraz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non ECC</w:t>
            </w: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 DDR4; maksymalna wielkość pamięci (w zależności od rodzaju pamięci)  128GB;liczba portów USB 10 w tym:  3.2x8szt, 2.0x2szt. bez uwzględnienia przejściówek i adapterów,  LAN 2x1GbE bez uwzględnienia dodatkowej karty sieciowej lub adapterów ( możliwość połączenia obu portów)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Dodatkowy port RJ45 do zdalnego zarządzania wbudowany w płytę główną. Platforma</w:t>
            </w: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  wyposażona  w podwójną obsługę dysków M.2 przez </w:t>
            </w:r>
            <w:proofErr w:type="spellStart"/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PCIe</w:t>
            </w:r>
            <w:proofErr w:type="spellEnd"/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 lub SATA z funkcją automatycznego przełączania sygnału. Obudowa umożliwia montaż  min.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6</w:t>
            </w: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 xml:space="preserve"> dysków w tym 3x dyski 3,5”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</w:pP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Pamięć RAM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: 4x 16GB DIMM DDR4 Dual </w:t>
            </w:r>
            <w:proofErr w:type="spellStart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Rank</w:t>
            </w:r>
            <w:proofErr w:type="spellEnd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2400 MHz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Cs/>
                <w:color w:val="000000" w:themeColor="text1"/>
                <w:sz w:val="24"/>
                <w:szCs w:val="24"/>
              </w:rPr>
              <w:t>Dysk twardy</w:t>
            </w:r>
            <w:r w:rsidRPr="00E938EC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: 2 </w:t>
            </w:r>
            <w:r w:rsidRPr="00E938E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x 500GB SSD, </w:t>
            </w:r>
            <w:proofErr w:type="spellStart"/>
            <w:r w:rsidRPr="00E938EC">
              <w:rPr>
                <w:rFonts w:ascii="Arial" w:hAnsi="Arial" w:cs="Arial"/>
                <w:color w:val="000000" w:themeColor="text1"/>
                <w:sz w:val="24"/>
                <w:szCs w:val="24"/>
              </w:rPr>
              <w:t>PCIe</w:t>
            </w:r>
            <w:proofErr w:type="spellEnd"/>
            <w:r w:rsidRPr="00E938E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38EC">
              <w:rPr>
                <w:rFonts w:ascii="Arial" w:hAnsi="Arial" w:cs="Arial"/>
                <w:color w:val="000000" w:themeColor="text1"/>
                <w:sz w:val="24"/>
                <w:szCs w:val="24"/>
              </w:rPr>
              <w:t>NVMe</w:t>
            </w:r>
            <w:proofErr w:type="spellEnd"/>
            <w:r w:rsidRPr="00E938E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3.0x4 (RAID 1)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 xml:space="preserve">Dysk twardy: 2 x 2TB HDD SATA III - 6 </w:t>
            </w:r>
            <w:proofErr w:type="spellStart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Gb</w:t>
            </w:r>
            <w:proofErr w:type="spellEnd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/s7200 </w:t>
            </w:r>
            <w:proofErr w:type="spellStart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obr</w:t>
            </w:r>
            <w:proofErr w:type="spellEnd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/min128 MB </w:t>
            </w:r>
            <w:r w:rsidRPr="00E938EC">
              <w:rPr>
                <w:rFonts w:ascii="Arial" w:hAnsi="Arial" w:cs="Arial"/>
                <w:sz w:val="24"/>
                <w:szCs w:val="24"/>
              </w:rPr>
              <w:t>(RAID 1)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Karta dźwiękowa: wbudowana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Cs/>
                <w:color w:val="00000A"/>
                <w:sz w:val="24"/>
                <w:szCs w:val="24"/>
              </w:rPr>
              <w:t>Karta graficzna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: zainstalowana pamięć wideo 6144MB,</w:t>
            </w:r>
          </w:p>
          <w:p w:rsidR="00E938EC" w:rsidRPr="00E938EC" w:rsidRDefault="00E938EC" w:rsidP="00E938EC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Serwer typu </w:t>
            </w:r>
            <w:proofErr w:type="spellStart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tower</w:t>
            </w:r>
            <w:proofErr w:type="spellEnd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lub </w:t>
            </w:r>
            <w:proofErr w:type="spellStart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rackowy</w:t>
            </w:r>
            <w:proofErr w:type="spellEnd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max. 2U (max. głębokość montażowa 800mm, szerokość montażowa 450mm)– serwer wyposażony w szyny montażowe. Obudowa z wbudowanym zasilaczem serwerowym 500W.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Gwarancja: minimum 36 miesięcy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Serwer musi posiadać system tworzenia kopii zapasowej i backupu który przywraca działanie systemu operacyjnego w przypadku jego całkowitego uszkodzenia za pośrednictwem dedykowanego klawisza skrótu. W cenę należy wliczyć pełną konfigurację serwera wraz z instalacją niezbędnego oprogramowania do prawidłowej pracy  stanowisk terminalowych. Serwer musi umożliwić jednocześnie pracę min. 30 użytkowników terminalowych. </w:t>
            </w:r>
          </w:p>
        </w:tc>
        <w:tc>
          <w:tcPr>
            <w:tcW w:w="545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2 szt.</w:t>
            </w:r>
          </w:p>
        </w:tc>
      </w:tr>
      <w:tr w:rsidR="00E938EC" w:rsidRPr="00E938EC" w:rsidTr="002E6EF6">
        <w:tc>
          <w:tcPr>
            <w:tcW w:w="243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2.</w:t>
            </w:r>
          </w:p>
        </w:tc>
        <w:tc>
          <w:tcPr>
            <w:tcW w:w="4212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Urządzenie UPS zapewniające wysoki poziom ochrony o parametrach nie gorszych niż: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Moc pozorna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1200 VA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Moc czynna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600 W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Architektura UPS-a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</w:r>
            <w:proofErr w:type="spellStart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line-interactive</w:t>
            </w:r>
            <w:proofErr w:type="spellEnd"/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Liczba faz na wejściu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1 (230V)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Liczba akumulatorów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2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Napięcie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12 V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Pojemność akumulatora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7 Ah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Czas przełączenia (maks.)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6 ms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Czas ładowania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6 h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 xml:space="preserve">Typ obudowy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Tower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Porty zasilania we.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  <w:t>IEC-C14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Porty zasilania wy.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   2 x IEC-C13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   2 x typ C/E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Złącza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ab/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   RJ-45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   1 x USB (</w:t>
            </w:r>
            <w:proofErr w:type="spellStart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Type</w:t>
            </w:r>
            <w:proofErr w:type="spellEnd"/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B)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Stopień ochrony IP20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 Gwarancja:24 miesiące</w:t>
            </w:r>
          </w:p>
        </w:tc>
        <w:tc>
          <w:tcPr>
            <w:tcW w:w="545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2 szt.</w:t>
            </w:r>
          </w:p>
        </w:tc>
      </w:tr>
    </w:tbl>
    <w:p w:rsidR="00E938EC" w:rsidRPr="00E938EC" w:rsidRDefault="00E938EC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E938EC" w:rsidRPr="00E938EC" w:rsidRDefault="00E938EC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  <w:r w:rsidRPr="00E938EC">
        <w:rPr>
          <w:rFonts w:ascii="Arial" w:eastAsia="Times New Roman" w:hAnsi="Arial" w:cs="Arial"/>
          <w:color w:val="00000A"/>
          <w:sz w:val="24"/>
          <w:szCs w:val="24"/>
        </w:rPr>
        <w:t>2.Jednostka centralna -  w skład wchodzą poniższe elementy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535"/>
        <w:gridCol w:w="7507"/>
        <w:gridCol w:w="1020"/>
      </w:tblGrid>
      <w:tr w:rsidR="00E938EC" w:rsidRPr="00E938EC" w:rsidTr="002E6EF6">
        <w:tc>
          <w:tcPr>
            <w:tcW w:w="266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Lp.</w:t>
            </w:r>
          </w:p>
        </w:tc>
        <w:tc>
          <w:tcPr>
            <w:tcW w:w="415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Opis elementu</w:t>
            </w:r>
          </w:p>
        </w:tc>
        <w:tc>
          <w:tcPr>
            <w:tcW w:w="57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</w:t>
            </w:r>
          </w:p>
        </w:tc>
      </w:tr>
      <w:tr w:rsidR="00E938EC" w:rsidRPr="00E938EC" w:rsidTr="002E6EF6">
        <w:tc>
          <w:tcPr>
            <w:tcW w:w="266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1.</w:t>
            </w:r>
          </w:p>
        </w:tc>
        <w:tc>
          <w:tcPr>
            <w:tcW w:w="415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Urządzenia dostępowe typu terminalowego o następujących parametrach minimalnych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Architektura sprzętowa - wbudowane oprogramowanie operacyjne do zarządzania i administrowania. Dedykowane oprogramowanie zapewnia elastyczne wsparcie systemu operacyjnego oraz bezpieczny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roaming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pulpitu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Dedykowane oprogramowanie pracujące na serwerze zapewniające  funkcjonalności: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-Wgląd w działanie systemu operacyjnego, procesora, pamięci, w przechowywanie danych, połączenie z siecią oraz inne znaczące parametry pracy serwera;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-Autoryzacja użytkowników – nadawanie uprawnień dostępu do poszczególnych zasobów na serwerze;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lastRenderedPageBreak/>
              <w:t>-Wykrywanie terminali oraz peryferii  USB w sieci;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-Monitorowanie i kontrola stanowisk użytkowników końcowych;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-Konfigurowanie dźwięku, rozdzielczości, obrazu itp. zdalnie na terminalach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- Udostępnianie pulpitu użytkownikom;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-Kontrola prywatności zasobów dla poszczególnych użytkowników;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-Umożliwienie komunikacji między administratorem a użytkownikiem końcowym – czat;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7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-Monitoring działań administratorów i użytkowników;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Maksymalny pobór energii Tryb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standby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: 0.2w; praca: 5W (niezależnie od zewnętrznych urządzeń USB)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Terminal kompatybilny i działający z monitorami dotykowymi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Złącza : 1xHDMI, 1xVGA, 4xUSB 2.0, Sieć: 1xRJ45, Audio: oddzielne wejście 1x 3,5mm audio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input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, oraz oddzielne wyjście 1x3.5mm audio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output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1× 5V zasilanie DC in,  1× włącznik/reset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Możliwe rozdzielczości obrazu  (32 bity @ 60Hz): 1024×768, 1280×1024 i 1600×1200,1360×768, 1366×768, 1440×900, 1600×900,1680×1050, oraz 1920×1080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Wysokiej jakości dźwięk  minimum 16 bitów, 44.1Khz/ 48Khz do uzyskania przez  niezależne  wejście i wyjście  3.5mm stereo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jack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i  porty USB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>Zabezpieczenie antykradzieżowe: zabezpieczone przed kradzieżą inną śrubą niż standardowa, np. typu „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torx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”.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lastRenderedPageBreak/>
              <w:t xml:space="preserve">Obraz przez złącza HDMI/VGA - Full HD 1080p dla wszystkich formatów medialnych wideo;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renderowanie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po stronie klienta  dla filmów lokalnych w wybranym odtwarzaczu video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Sieci 10/100/1000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Mbps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Ethernet RJ45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Certyfikaty : deklaracja CE,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RoHS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compliant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, ISO 9001:2015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Możliwość działania na systemach  operacyjnych Microsoft Windows Pro 32bits 7, 8 ,8.1&amp; 10 (nie licząc licencji Starter, Home Basic i edycje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Insider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),Windows Server Standard  2003 32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bits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, 2008R2, 2012, 2012R2, 2016,2019,2022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Multipoint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Server 2011, 2012, 2016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3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938EC">
              <w:rPr>
                <w:rFonts w:ascii="Arial" w:hAnsi="Arial" w:cs="Arial"/>
                <w:sz w:val="24"/>
                <w:szCs w:val="24"/>
              </w:rPr>
              <w:t xml:space="preserve">Oprogramowanie użytkownika obsługujący 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Dynamic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Desktop </w:t>
            </w:r>
            <w:proofErr w:type="spellStart"/>
            <w:r w:rsidRPr="00E938EC">
              <w:rPr>
                <w:rFonts w:ascii="Arial" w:hAnsi="Arial" w:cs="Arial"/>
                <w:sz w:val="24"/>
                <w:szCs w:val="24"/>
              </w:rPr>
              <w:t>Protocol</w:t>
            </w:r>
            <w:proofErr w:type="spellEnd"/>
            <w:r w:rsidRPr="00E938EC">
              <w:rPr>
                <w:rFonts w:ascii="Arial" w:hAnsi="Arial" w:cs="Arial"/>
                <w:sz w:val="24"/>
                <w:szCs w:val="24"/>
              </w:rPr>
              <w:t xml:space="preserve"> (DDP)</w:t>
            </w:r>
          </w:p>
          <w:p w:rsidR="00E938EC" w:rsidRPr="00E938EC" w:rsidRDefault="00E938EC" w:rsidP="00E938EC">
            <w:pPr>
              <w:pStyle w:val="Akapitzlist"/>
              <w:spacing w:after="0" w:line="360" w:lineRule="auto"/>
              <w:ind w:left="1065"/>
              <w:rPr>
                <w:rFonts w:ascii="Arial" w:hAnsi="Arial" w:cs="Arial"/>
                <w:b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sz w:val="24"/>
                <w:szCs w:val="24"/>
              </w:rPr>
              <w:t>Gwarancja : minimum 36 miesięcy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W cenę należy wliczyć montaż, instalację, konfigurację i szkolenie z obsługi urządzenia.</w:t>
            </w:r>
          </w:p>
        </w:tc>
        <w:tc>
          <w:tcPr>
            <w:tcW w:w="57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40szt.</w:t>
            </w:r>
          </w:p>
        </w:tc>
      </w:tr>
      <w:tr w:rsidR="00E938EC" w:rsidRPr="00E938EC" w:rsidTr="002E6EF6">
        <w:tc>
          <w:tcPr>
            <w:tcW w:w="266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3.</w:t>
            </w:r>
          </w:p>
        </w:tc>
        <w:tc>
          <w:tcPr>
            <w:tcW w:w="415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Klawiatura standard o minimalnych parametrach lub równoważne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Interfejs :USB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Sposób połączenia  Kabel USB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Kolor ciemny stonowany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Nisko profilowe klawisze zapewniające wygodne i ciche pisanie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Konstrukcja odporna na płyny w czasie zalania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Klawisze wzmocnione znoszące do 10 milionów naciśnięć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Wytrzymałe odchylane nóżki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Czytelne klawisze oznaczone pogrubionymi białymi oznaczeniami .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Zakrzywiona spacja umożliwiająca ułożenie dłoni w naturalniejszy sposób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Klawiatura musi być kompatybilna z urządzeniem terminalowym i prawidłowo z nim współpracować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.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Gwarancja:  min 36 miesięcy</w:t>
            </w:r>
          </w:p>
        </w:tc>
        <w:tc>
          <w:tcPr>
            <w:tcW w:w="57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40szt.</w:t>
            </w:r>
          </w:p>
        </w:tc>
      </w:tr>
      <w:tr w:rsidR="00E938EC" w:rsidRPr="00E938EC" w:rsidTr="002E6EF6">
        <w:tc>
          <w:tcPr>
            <w:tcW w:w="266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4.</w:t>
            </w:r>
          </w:p>
        </w:tc>
        <w:tc>
          <w:tcPr>
            <w:tcW w:w="415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Mysz Optyczna wraz z podkładką o minimalnych parametrach lub równoważne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 przycisków  2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 rolek  1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Sposób połączenia  Kabel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Interfejs  USB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Kolor ciemny stonowany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Mysz musi być kompatybilna z urządzeniem terminalowym i prawidłowo z nim współpracować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.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Gwarancja: min 36 miesięcy</w:t>
            </w:r>
          </w:p>
        </w:tc>
        <w:tc>
          <w:tcPr>
            <w:tcW w:w="57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40 szt.</w:t>
            </w:r>
          </w:p>
        </w:tc>
      </w:tr>
    </w:tbl>
    <w:p w:rsidR="00E938EC" w:rsidRPr="00E938EC" w:rsidRDefault="00E938EC" w:rsidP="00E938EC">
      <w:pPr>
        <w:spacing w:after="0" w:line="360" w:lineRule="auto"/>
        <w:jc w:val="center"/>
        <w:rPr>
          <w:rFonts w:ascii="Arial" w:eastAsia="Times New Roman" w:hAnsi="Arial" w:cs="Arial"/>
          <w:color w:val="00000A"/>
          <w:sz w:val="24"/>
          <w:szCs w:val="24"/>
        </w:rPr>
      </w:pPr>
    </w:p>
    <w:p w:rsidR="00E938EC" w:rsidRPr="00E938EC" w:rsidRDefault="00E938EC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  <w:r w:rsidRPr="00E938EC">
        <w:rPr>
          <w:rFonts w:ascii="Arial" w:eastAsia="Times New Roman" w:hAnsi="Arial" w:cs="Arial"/>
          <w:color w:val="00000A"/>
          <w:sz w:val="24"/>
          <w:szCs w:val="24"/>
        </w:rPr>
        <w:t>3.Licencje dostępowe -  w skład wchodzą poniższe elementy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535"/>
        <w:gridCol w:w="7685"/>
        <w:gridCol w:w="842"/>
      </w:tblGrid>
      <w:tr w:rsidR="00E938EC" w:rsidRPr="00E938EC" w:rsidTr="002E6EF6">
        <w:tc>
          <w:tcPr>
            <w:tcW w:w="269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Lp.</w:t>
            </w:r>
          </w:p>
        </w:tc>
        <w:tc>
          <w:tcPr>
            <w:tcW w:w="4325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Opis elementu</w:t>
            </w:r>
          </w:p>
        </w:tc>
        <w:tc>
          <w:tcPr>
            <w:tcW w:w="406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</w:t>
            </w:r>
          </w:p>
        </w:tc>
      </w:tr>
      <w:tr w:rsidR="00E938EC" w:rsidRPr="00E938EC" w:rsidTr="002E6EF6">
        <w:tc>
          <w:tcPr>
            <w:tcW w:w="269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1.</w:t>
            </w:r>
          </w:p>
        </w:tc>
        <w:tc>
          <w:tcPr>
            <w:tcW w:w="4325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Najnowsza dostępna, podstawowa licencja zdalnego dostępu, kompatybilna z serwerowym systemem  operacyjnym w poz. 4 pkt.2.Licencja dożywotnia. Oprogramowanie wykorzystywane podczas zajęć dydaktycznych – dedykowane jest dla systemów Windows.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 xml:space="preserve">Licencje CAL serwerowe (Microsoft </w:t>
            </w:r>
            <w:proofErr w:type="spellStart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>WinSvrCAL</w:t>
            </w:r>
            <w:proofErr w:type="spellEnd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 xml:space="preserve"> 2022 SNGL OLP NL </w:t>
            </w:r>
            <w:proofErr w:type="spellStart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>Acdmc</w:t>
            </w:r>
            <w:proofErr w:type="spellEnd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>DvcCAL</w:t>
            </w:r>
            <w:proofErr w:type="spellEnd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 xml:space="preserve"> EDU - stanowiskowa/wieczysta).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W cenę należy wliczyć instalacje, konfigurację oprogramowania</w:t>
            </w:r>
          </w:p>
        </w:tc>
        <w:tc>
          <w:tcPr>
            <w:tcW w:w="406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42szt.</w:t>
            </w:r>
          </w:p>
        </w:tc>
      </w:tr>
      <w:tr w:rsidR="00E938EC" w:rsidRPr="00E938EC" w:rsidTr="002E6EF6">
        <w:tc>
          <w:tcPr>
            <w:tcW w:w="269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2.</w:t>
            </w:r>
          </w:p>
        </w:tc>
        <w:tc>
          <w:tcPr>
            <w:tcW w:w="4325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Najnowsza dostępna dożywotnia licencja  dla terminala umożliwiająca pracę zdalną -terminalową. Licencja kompatybilna z   serwerowym systemem  operacyjnym poz.4.pkt.2. Oprogramowanie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wykorzystywane podczas zajęć dydaktycznych – dedykowane jest dla systemów Windows.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 xml:space="preserve">Licencje CAL terminalowe (Microsoft </w:t>
            </w:r>
            <w:proofErr w:type="spellStart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>WinRmtDsktpSrvcsCAL</w:t>
            </w:r>
            <w:proofErr w:type="spellEnd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 xml:space="preserve"> 2022 SNGL OLP NL </w:t>
            </w:r>
            <w:proofErr w:type="spellStart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>Acdmc</w:t>
            </w:r>
            <w:proofErr w:type="spellEnd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>DvcCAL</w:t>
            </w:r>
            <w:proofErr w:type="spellEnd"/>
            <w:r w:rsidRPr="00E938EC">
              <w:rPr>
                <w:rFonts w:ascii="Arial" w:eastAsia="Times New Roman" w:hAnsi="Arial" w:cs="Arial"/>
                <w:i/>
                <w:color w:val="00000A"/>
                <w:sz w:val="24"/>
                <w:szCs w:val="24"/>
              </w:rPr>
              <w:t xml:space="preserve"> EDU - stanowiskowa/wieczysta)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W cenę należy wliczyć instalacje, konfigurację oprogramowania</w:t>
            </w:r>
          </w:p>
        </w:tc>
        <w:tc>
          <w:tcPr>
            <w:tcW w:w="406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40szt.</w:t>
            </w:r>
          </w:p>
        </w:tc>
      </w:tr>
    </w:tbl>
    <w:p w:rsidR="00E938EC" w:rsidRPr="00E938EC" w:rsidRDefault="00E938EC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E938EC" w:rsidRPr="00E938EC" w:rsidRDefault="00E938EC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  <w:r w:rsidRPr="00E938EC">
        <w:rPr>
          <w:rFonts w:ascii="Arial" w:eastAsia="Times New Roman" w:hAnsi="Arial" w:cs="Arial"/>
          <w:color w:val="00000A"/>
          <w:sz w:val="24"/>
          <w:szCs w:val="24"/>
        </w:rPr>
        <w:t>4. Oprogramowanie -  w skład wchodzą poniższe elementy</w:t>
      </w:r>
    </w:p>
    <w:tbl>
      <w:tblPr>
        <w:tblW w:w="52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535"/>
        <w:gridCol w:w="7815"/>
        <w:gridCol w:w="1143"/>
      </w:tblGrid>
      <w:tr w:rsidR="00E938EC" w:rsidRPr="00E938EC" w:rsidTr="002E6EF6">
        <w:tc>
          <w:tcPr>
            <w:tcW w:w="25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Lp.</w:t>
            </w:r>
          </w:p>
        </w:tc>
        <w:tc>
          <w:tcPr>
            <w:tcW w:w="4129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Opis elementu</w:t>
            </w:r>
          </w:p>
        </w:tc>
        <w:tc>
          <w:tcPr>
            <w:tcW w:w="614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</w:t>
            </w:r>
          </w:p>
        </w:tc>
      </w:tr>
      <w:tr w:rsidR="00E938EC" w:rsidRPr="00E938EC" w:rsidTr="002E6EF6">
        <w:tc>
          <w:tcPr>
            <w:tcW w:w="25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1.</w:t>
            </w:r>
          </w:p>
        </w:tc>
        <w:tc>
          <w:tcPr>
            <w:tcW w:w="4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Oprogramowanie serwera </w:t>
            </w: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Oprogramowanie wykorzystywane podczas zajęć dydaktycznych – dedykowane jest dla systemów Windows.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Najnowszy dostępny serwerowy system operacyjny Windows Server </w:t>
            </w:r>
            <w:proofErr w:type="spellStart"/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std</w:t>
            </w:r>
            <w:proofErr w:type="spellEnd"/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Core</w:t>
            </w:r>
            <w:proofErr w:type="spellEnd"/>
            <w:r w:rsidRPr="00E938EC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 xml:space="preserve"> 2022 (na 16 rdzeni)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Licencje na serwerowy system operacyjny muszą być przypisane do każdego rdzenia procesora fizycznego na serwerze. Licencja musi uprawniać do uruchamiania serwerowego systemu operacyjnego w środowisku fizycznym i dwóch wirtualnych środowisk serwerowego systemu operacyjnego niezależnie od liczby rdzeni w serwerze fizycznym.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użytego do logowania,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  <w:t>W cenę należy wliczyć instalację, konfigurację i szkolenie z obsługi</w:t>
            </w:r>
          </w:p>
        </w:tc>
        <w:tc>
          <w:tcPr>
            <w:tcW w:w="614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F497D"/>
                <w:sz w:val="24"/>
                <w:szCs w:val="24"/>
              </w:rPr>
              <w:t>2 szt.</w:t>
            </w:r>
          </w:p>
        </w:tc>
      </w:tr>
      <w:tr w:rsidR="00E938EC" w:rsidRPr="00E938EC" w:rsidTr="002E6EF6">
        <w:tc>
          <w:tcPr>
            <w:tcW w:w="257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2</w:t>
            </w:r>
          </w:p>
        </w:tc>
        <w:tc>
          <w:tcPr>
            <w:tcW w:w="4129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b/>
                <w:color w:val="000000"/>
                <w:sz w:val="24"/>
                <w:szCs w:val="24"/>
                <w:lang w:eastAsia="pl-PL"/>
              </w:rPr>
              <w:t>Oprogramowanie do zarządzania pracownią komputerową (typ licencji terminalowa/serwerowa - wieczysta, pełna, bez dodatkowych opłat przy aktualizacji) musi spełniać przynajmniej następujące funkcjonalności :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>podgląd ekranów/zdalne sterowanie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 xml:space="preserve">Narzędzia do szkoleń w czasie rzeczywistym 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lastRenderedPageBreak/>
              <w:t xml:space="preserve"> Ankietowanie studentów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>Moduł egzaminów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>Moduł quizów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>Monitorowanie audio w czasie rzeczywistym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 xml:space="preserve">Pomiar i kontrola użytkowania </w:t>
            </w:r>
            <w:proofErr w:type="spellStart"/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>internetu</w:t>
            </w:r>
            <w:proofErr w:type="spellEnd"/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>Cyfrowy notatnik studenta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>Pomiar i kontrola aplikacji</w:t>
            </w:r>
          </w:p>
          <w:p w:rsidR="00E938EC" w:rsidRPr="00E938EC" w:rsidRDefault="00E938EC" w:rsidP="00E938EC">
            <w:pPr>
              <w:pStyle w:val="Akapitzlist"/>
              <w:numPr>
                <w:ilvl w:val="0"/>
                <w:numId w:val="34"/>
              </w:num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color w:val="000000"/>
                <w:sz w:val="24"/>
                <w:szCs w:val="24"/>
                <w:lang w:eastAsia="pl-PL"/>
              </w:rPr>
              <w:t xml:space="preserve">Wysyłanie i zbieranie informacji </w:t>
            </w:r>
          </w:p>
          <w:p w:rsidR="00E938EC" w:rsidRPr="00E938EC" w:rsidRDefault="00E938EC" w:rsidP="00E938EC">
            <w:pPr>
              <w:spacing w:after="0" w:line="360" w:lineRule="auto"/>
              <w:ind w:left="1065"/>
              <w:rPr>
                <w:rFonts w:ascii="Arial" w:hAnsi="Arial" w:cs="Arial"/>
                <w:b/>
                <w:color w:val="000000"/>
                <w:sz w:val="24"/>
                <w:szCs w:val="24"/>
                <w:lang w:eastAsia="pl-PL"/>
              </w:rPr>
            </w:pPr>
            <w:r w:rsidRPr="00E938EC">
              <w:rPr>
                <w:rFonts w:ascii="Arial" w:hAnsi="Arial" w:cs="Arial"/>
                <w:b/>
                <w:color w:val="000000"/>
                <w:sz w:val="24"/>
                <w:szCs w:val="24"/>
                <w:lang w:eastAsia="pl-PL"/>
              </w:rPr>
              <w:t xml:space="preserve">W cenę należy wliczyć instalacje, konfigurację oprogramowania </w:t>
            </w:r>
          </w:p>
        </w:tc>
        <w:tc>
          <w:tcPr>
            <w:tcW w:w="614" w:type="pct"/>
            <w:tcMar>
              <w:left w:w="93" w:type="dxa"/>
            </w:tcMar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E938EC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>42 szt.</w:t>
            </w:r>
          </w:p>
        </w:tc>
      </w:tr>
    </w:tbl>
    <w:p w:rsidR="00E938EC" w:rsidRPr="00E938EC" w:rsidRDefault="00E938EC" w:rsidP="00E938EC">
      <w:pPr>
        <w:spacing w:after="0" w:line="360" w:lineRule="auto"/>
        <w:ind w:left="720"/>
        <w:rPr>
          <w:rFonts w:ascii="Arial" w:eastAsia="Times New Roman" w:hAnsi="Arial" w:cs="Arial"/>
          <w:color w:val="00000A"/>
          <w:sz w:val="24"/>
          <w:szCs w:val="24"/>
        </w:rPr>
      </w:pPr>
    </w:p>
    <w:p w:rsidR="00E938EC" w:rsidRPr="00E938EC" w:rsidRDefault="00E938EC" w:rsidP="00607F0E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  <w:r w:rsidRPr="00E938EC">
        <w:rPr>
          <w:rFonts w:ascii="Arial" w:eastAsia="Times New Roman" w:hAnsi="Arial" w:cs="Arial"/>
          <w:color w:val="00000A"/>
          <w:sz w:val="24"/>
          <w:szCs w:val="24"/>
        </w:rPr>
        <w:t xml:space="preserve">5. Dokumentacja – w wersji elektronicznej oraz papierowej klucze produktów zakupionych licencji dla całości oprogramowania, wraz z nośnikami instalacyjnym oraz adresami www, z których można pobrać aktualizację oprogramowania. </w:t>
      </w:r>
    </w:p>
    <w:p w:rsidR="00E938EC" w:rsidRPr="00E938EC" w:rsidRDefault="00E938EC" w:rsidP="00607F0E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  <w:r w:rsidRPr="00E938EC">
        <w:rPr>
          <w:rFonts w:ascii="Arial" w:eastAsia="Times New Roman" w:hAnsi="Arial" w:cs="Arial"/>
          <w:color w:val="00000A"/>
          <w:sz w:val="24"/>
          <w:szCs w:val="24"/>
        </w:rPr>
        <w:t xml:space="preserve">UWAGA! Monitory do terminali, 2 komputery stacjonarne (stanowiska nauczycielskie) oraz licencje MS Office – typu standard zostaną zakupione odrębnym postępowaniem. Konfiguracja komputerów nauczycielskich, wraz z licencjami (Office, CAL, oprogramowanie do zarządzania pracownią, współpraca z serwerem – po stronie Zleceniobiorcy). </w:t>
      </w:r>
    </w:p>
    <w:p w:rsidR="00E938EC" w:rsidRDefault="00E938EC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607F0E" w:rsidRDefault="00607F0E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607F0E" w:rsidRDefault="00607F0E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607F0E" w:rsidRDefault="00607F0E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607F0E" w:rsidRDefault="00607F0E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607F0E" w:rsidRDefault="00607F0E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607F0E" w:rsidRDefault="00607F0E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607F0E" w:rsidRPr="00E938EC" w:rsidRDefault="00607F0E" w:rsidP="00E938EC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E938EC" w:rsidRPr="00E938EC" w:rsidRDefault="00E938EC" w:rsidP="00E938E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E938EC">
        <w:rPr>
          <w:rFonts w:ascii="Arial" w:hAnsi="Arial" w:cs="Arial"/>
          <w:b/>
          <w:sz w:val="24"/>
          <w:szCs w:val="24"/>
          <w:u w:val="single"/>
          <w:lang w:eastAsia="pl-PL"/>
        </w:rPr>
        <w:lastRenderedPageBreak/>
        <w:t xml:space="preserve">Zadanie 2. </w:t>
      </w:r>
      <w:r w:rsidRPr="00E938EC">
        <w:rPr>
          <w:rFonts w:ascii="Arial" w:hAnsi="Arial" w:cs="Arial"/>
          <w:b/>
          <w:sz w:val="24"/>
          <w:szCs w:val="24"/>
          <w:u w:val="single"/>
        </w:rPr>
        <w:t>Sprzęt komputerowy dla Wydziału Budownictwa.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Jednostka centralna – 1 szt. o parametrach: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Procesor</w:t>
      </w:r>
      <w:r w:rsidRPr="00E938EC">
        <w:rPr>
          <w:rFonts w:ascii="Arial" w:hAnsi="Arial" w:cs="Arial"/>
          <w:sz w:val="24"/>
          <w:szCs w:val="24"/>
        </w:rPr>
        <w:t xml:space="preserve"> – osiągający nie mniej niż 16000 punktów w teście </w:t>
      </w:r>
      <w:proofErr w:type="spellStart"/>
      <w:r w:rsidRPr="00E938EC">
        <w:rPr>
          <w:rFonts w:ascii="Arial" w:hAnsi="Arial" w:cs="Arial"/>
          <w:sz w:val="24"/>
          <w:szCs w:val="24"/>
        </w:rPr>
        <w:t>Passmark</w:t>
      </w:r>
      <w:proofErr w:type="spellEnd"/>
      <w:r w:rsidRPr="00E938EC">
        <w:rPr>
          <w:rFonts w:ascii="Arial" w:hAnsi="Arial" w:cs="Arial"/>
          <w:sz w:val="24"/>
          <w:szCs w:val="24"/>
        </w:rPr>
        <w:t xml:space="preserve"> CPU Mark, min. 8 rdzeniowy, 16 wątkowy, o pojemności pamięci cache min. 16 MB, z wbudowaną kartą graficzną, częstotliwość w trybie turbo min 4.8 GHz.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Chłodzenie CPU</w:t>
      </w:r>
      <w:r w:rsidRPr="00E938EC">
        <w:rPr>
          <w:rFonts w:ascii="Arial" w:hAnsi="Arial" w:cs="Arial"/>
          <w:sz w:val="24"/>
          <w:szCs w:val="24"/>
        </w:rPr>
        <w:t xml:space="preserve"> – dostosowane do złącza i zgodne z wymaganiami producenta procesora.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Płyta główna</w:t>
      </w:r>
      <w:r w:rsidRPr="00E938EC">
        <w:rPr>
          <w:rFonts w:ascii="Arial" w:hAnsi="Arial" w:cs="Arial"/>
          <w:sz w:val="24"/>
          <w:szCs w:val="24"/>
        </w:rPr>
        <w:t xml:space="preserve"> – minimalne wymagania gniazd rozszerzeń: PCI-e x16, PCI-e x4, 4x port SATA III, port M.2, porty USB min.: USB 3.2 Gen. 2 x 1, USB 3.2 Gen. 1 x 3, 2xUSB 2.0; 1x RJ-45, Display Port – 2 szt., wejście/wyjścia audio – 1 szt.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Pamięć RAM</w:t>
      </w:r>
      <w:r w:rsidRPr="00E938EC">
        <w:rPr>
          <w:rFonts w:ascii="Arial" w:hAnsi="Arial" w:cs="Arial"/>
          <w:sz w:val="24"/>
          <w:szCs w:val="24"/>
        </w:rPr>
        <w:t xml:space="preserve"> – 16 GB; typ złącza – DIMM, typ pamięci: DDR4, min. częstotliwość pracy min. [MHz]: 2933.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 xml:space="preserve">Dysk SSD </w:t>
      </w:r>
      <w:r w:rsidRPr="00E938EC">
        <w:rPr>
          <w:rFonts w:ascii="Arial" w:hAnsi="Arial" w:cs="Arial"/>
          <w:sz w:val="24"/>
          <w:szCs w:val="24"/>
        </w:rPr>
        <w:t xml:space="preserve">– format: M.2, pojemność dysku: nie mniej niż 500 GB, interfejs: M.2 </w:t>
      </w:r>
      <w:proofErr w:type="spellStart"/>
      <w:r w:rsidRPr="00E938EC">
        <w:rPr>
          <w:rFonts w:ascii="Arial" w:hAnsi="Arial" w:cs="Arial"/>
          <w:sz w:val="24"/>
          <w:szCs w:val="24"/>
        </w:rPr>
        <w:t>PCIe</w:t>
      </w:r>
      <w:proofErr w:type="spellEnd"/>
      <w:r w:rsidRPr="00E938EC">
        <w:rPr>
          <w:rFonts w:ascii="Arial" w:hAnsi="Arial" w:cs="Arial"/>
          <w:sz w:val="24"/>
          <w:szCs w:val="24"/>
        </w:rPr>
        <w:t>, prędkość odczytu: min. 1500 MB/s, prędkość zapisu: min. 1000 MB/s.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Obudowa</w:t>
      </w:r>
      <w:r w:rsidRPr="00E938EC">
        <w:rPr>
          <w:rFonts w:ascii="Arial" w:hAnsi="Arial" w:cs="Arial"/>
          <w:sz w:val="24"/>
          <w:szCs w:val="24"/>
        </w:rPr>
        <w:t xml:space="preserve"> – typu ATX, wyciszona, co najmniej dwa wentylatory min. 12 cm, umożliwiająca montaż co najmniej 3 napędów 3,5”, 3 napędów 2,5” i 3 napędów 5.25”, posiadającą nie mniej niż 2 porty zew. USB 2.0 i 2 porty USB 3.0, złącze słuchawkowe i mikrofonowe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Zasilacz</w:t>
      </w:r>
      <w:r w:rsidRPr="00E938EC">
        <w:rPr>
          <w:rFonts w:ascii="Arial" w:hAnsi="Arial" w:cs="Arial"/>
          <w:sz w:val="24"/>
          <w:szCs w:val="24"/>
        </w:rPr>
        <w:t xml:space="preserve"> – min. 240 Wat,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 xml:space="preserve">Klawiatura </w:t>
      </w:r>
      <w:r w:rsidRPr="00E938EC">
        <w:rPr>
          <w:rFonts w:ascii="Arial" w:hAnsi="Arial" w:cs="Arial"/>
          <w:sz w:val="24"/>
          <w:szCs w:val="24"/>
        </w:rPr>
        <w:t xml:space="preserve">– powiększona dla słabowidzących, przyciski w kontrastowym kolorze, układ z pełnowymiarowymi klawiszami funkcyjnymi, z klawiaturą numeryczną komputerowa i z dużymi klawiszami </w:t>
      </w:r>
      <w:proofErr w:type="spellStart"/>
      <w:r w:rsidRPr="00E938EC">
        <w:rPr>
          <w:rFonts w:ascii="Arial" w:hAnsi="Arial" w:cs="Arial"/>
          <w:sz w:val="24"/>
          <w:szCs w:val="24"/>
        </w:rPr>
        <w:t>Enter</w:t>
      </w:r>
      <w:proofErr w:type="spellEnd"/>
      <w:r w:rsidRPr="00E938EC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E938EC">
        <w:rPr>
          <w:rFonts w:ascii="Arial" w:hAnsi="Arial" w:cs="Arial"/>
          <w:sz w:val="24"/>
          <w:szCs w:val="24"/>
        </w:rPr>
        <w:t>BackSpace</w:t>
      </w:r>
      <w:proofErr w:type="spellEnd"/>
      <w:r w:rsidRPr="00E938EC">
        <w:rPr>
          <w:rFonts w:ascii="Arial" w:hAnsi="Arial" w:cs="Arial"/>
          <w:sz w:val="24"/>
          <w:szCs w:val="24"/>
        </w:rPr>
        <w:t>, interfejs USB.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Mysz</w:t>
      </w:r>
      <w:r w:rsidRPr="00E938EC">
        <w:rPr>
          <w:rFonts w:ascii="Arial" w:hAnsi="Arial" w:cs="Arial"/>
          <w:sz w:val="24"/>
          <w:szCs w:val="24"/>
        </w:rPr>
        <w:t xml:space="preserve"> – optyczna,</w:t>
      </w:r>
      <w:r w:rsidRPr="00E938EC">
        <w:rPr>
          <w:rFonts w:ascii="Arial" w:hAnsi="Arial" w:cs="Arial"/>
          <w:b/>
          <w:sz w:val="24"/>
          <w:szCs w:val="24"/>
        </w:rPr>
        <w:t xml:space="preserve"> </w:t>
      </w:r>
      <w:r w:rsidRPr="00E938EC">
        <w:rPr>
          <w:rFonts w:ascii="Arial" w:hAnsi="Arial" w:cs="Arial"/>
          <w:sz w:val="24"/>
          <w:szCs w:val="24"/>
        </w:rPr>
        <w:t xml:space="preserve">standardowa mysz USB ze </w:t>
      </w:r>
      <w:proofErr w:type="spellStart"/>
      <w:r w:rsidRPr="00E938EC">
        <w:rPr>
          <w:rFonts w:ascii="Arial" w:hAnsi="Arial" w:cs="Arial"/>
          <w:sz w:val="24"/>
          <w:szCs w:val="24"/>
        </w:rPr>
        <w:t>scrollem</w:t>
      </w:r>
      <w:proofErr w:type="spellEnd"/>
      <w:r w:rsidRPr="00E938EC">
        <w:rPr>
          <w:rFonts w:ascii="Arial" w:hAnsi="Arial" w:cs="Arial"/>
          <w:sz w:val="24"/>
          <w:szCs w:val="24"/>
        </w:rPr>
        <w:t xml:space="preserve"> oraz Trackballem, dla użytkowników prawo- i lewo- ręcznych, z dołączoną podpórką na nadgarstek.</w:t>
      </w:r>
    </w:p>
    <w:p w:rsidR="00E938EC" w:rsidRPr="00607F0E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07F0E">
        <w:rPr>
          <w:rFonts w:ascii="Arial" w:hAnsi="Arial" w:cs="Arial"/>
          <w:sz w:val="24"/>
          <w:szCs w:val="24"/>
        </w:rPr>
        <w:t>System operacyjny – min. Windows 10 Pro PL 64bit OEM.</w:t>
      </w:r>
    </w:p>
    <w:p w:rsidR="00E938EC" w:rsidRPr="00607F0E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07F0E">
        <w:rPr>
          <w:rFonts w:ascii="Arial" w:hAnsi="Arial" w:cs="Arial"/>
          <w:sz w:val="24"/>
          <w:szCs w:val="24"/>
        </w:rPr>
        <w:t>Gwarancja: min. 36 miesięcy</w:t>
      </w:r>
    </w:p>
    <w:p w:rsidR="00E938EC" w:rsidRPr="00607F0E" w:rsidRDefault="00E938EC" w:rsidP="00E938E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7F0E">
        <w:rPr>
          <w:rFonts w:ascii="Arial" w:hAnsi="Arial" w:cs="Arial"/>
          <w:b/>
          <w:sz w:val="24"/>
          <w:szCs w:val="24"/>
        </w:rPr>
        <w:t>Monitor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4814"/>
      </w:tblGrid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Przekątna ekranu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27"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lastRenderedPageBreak/>
              <w:t>Powłoka matrycy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Matowa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Rodzaj matrycy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LED, IPS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Typ ekranu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Płaski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 xml:space="preserve">Monitor </w:t>
            </w:r>
            <w:proofErr w:type="spellStart"/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bezramkowy</w:t>
            </w:r>
            <w:proofErr w:type="spellEnd"/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Tak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Rozdzielczość ekranu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min. 2560 x 1440 (WQHD)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Format obrazu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16:9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Częstotliwość odświeżania ekranu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 xml:space="preserve">144 </w:t>
            </w:r>
            <w:proofErr w:type="spellStart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Hz</w:t>
            </w:r>
            <w:proofErr w:type="spellEnd"/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Odwzorowanie przestrzeni barw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proofErr w:type="spellStart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sRGB</w:t>
            </w:r>
            <w:proofErr w:type="spellEnd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: min. 99%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Calibri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eastAsia="Calibri" w:hAnsi="Arial" w:cs="Arial"/>
                <w:b/>
                <w:bCs/>
                <w:color w:val="1A1A1A"/>
                <w:sz w:val="24"/>
                <w:szCs w:val="24"/>
              </w:rPr>
              <w:t>Liczba wyświetlanych kolorów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Calibri" w:hAnsi="Arial" w:cs="Arial"/>
                <w:color w:val="1A1A1A"/>
                <w:sz w:val="24"/>
                <w:szCs w:val="24"/>
              </w:rPr>
            </w:pPr>
            <w:r w:rsidRPr="00E938EC">
              <w:rPr>
                <w:rFonts w:ascii="Arial" w:eastAsia="Calibri" w:hAnsi="Arial" w:cs="Arial"/>
                <w:color w:val="1A1A1A"/>
                <w:sz w:val="24"/>
                <w:szCs w:val="24"/>
              </w:rPr>
              <w:t>1,07 mld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Czas reakcji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1 ms (GTG)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Calibri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eastAsia="Calibri" w:hAnsi="Arial" w:cs="Arial"/>
                <w:b/>
                <w:bCs/>
                <w:color w:val="1A1A1A"/>
                <w:sz w:val="24"/>
                <w:szCs w:val="24"/>
              </w:rPr>
              <w:t>HDR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eastAsia="Calibri" w:hAnsi="Arial" w:cs="Arial"/>
                <w:color w:val="1A1A1A"/>
                <w:sz w:val="24"/>
                <w:szCs w:val="24"/>
              </w:rPr>
            </w:pPr>
            <w:r w:rsidRPr="00E938EC">
              <w:rPr>
                <w:rFonts w:ascii="Arial" w:eastAsia="Calibri" w:hAnsi="Arial" w:cs="Arial"/>
                <w:color w:val="1A1A1A"/>
                <w:sz w:val="24"/>
                <w:szCs w:val="24"/>
              </w:rPr>
              <w:t>HDR 10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Technologia ochrony oczu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Redukcja migotania (</w:t>
            </w:r>
            <w:proofErr w:type="spellStart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Flicker</w:t>
            </w:r>
            <w:proofErr w:type="spellEnd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free</w:t>
            </w:r>
            <w:proofErr w:type="spellEnd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)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Filtr światła niebieskiego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Jasność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350 cd/m²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Kontrast statyczny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1 000:1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Kąt widzenia w poziomie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178 stopni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Kąt widzenia w pionie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178 stopni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Złącza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HDMI 2.0 - 2 szt.</w:t>
            </w: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 xml:space="preserve">,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proofErr w:type="spellStart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DisplayPort</w:t>
            </w:r>
            <w:proofErr w:type="spellEnd"/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 xml:space="preserve"> - 1 szt.</w:t>
            </w: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 xml:space="preserve">, 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Wyjście słuchawkowe - 1 szt.</w:t>
            </w:r>
          </w:p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USB 3.1 Gen. 1 (USB 3.0) – 1 szt.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Klasa energetyczna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G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Pobór mocy podczas pracy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48 W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Pobór mocy podczas spoczynku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&lt; 0,3 W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Dołączone akcesoria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Zasilacz</w:t>
            </w: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 xml:space="preserve">, </w:t>
            </w: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Kabel HDMI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Waga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5,5 kg</w:t>
            </w:r>
          </w:p>
        </w:tc>
      </w:tr>
      <w:tr w:rsidR="00E938EC" w:rsidRPr="00E938EC" w:rsidTr="00607F0E">
        <w:tc>
          <w:tcPr>
            <w:tcW w:w="4248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  <w:t>Gwarancja</w:t>
            </w:r>
          </w:p>
        </w:tc>
        <w:tc>
          <w:tcPr>
            <w:tcW w:w="4814" w:type="dxa"/>
            <w:shd w:val="clear" w:color="auto" w:fill="auto"/>
          </w:tcPr>
          <w:p w:rsidR="00E938EC" w:rsidRPr="00E938EC" w:rsidRDefault="00E938EC" w:rsidP="00E938EC">
            <w:pPr>
              <w:spacing w:after="0" w:line="360" w:lineRule="auto"/>
              <w:rPr>
                <w:rFonts w:ascii="Arial" w:hAnsi="Arial" w:cs="Arial"/>
                <w:b/>
                <w:bCs/>
                <w:color w:val="1A1A1A"/>
                <w:sz w:val="24"/>
                <w:szCs w:val="24"/>
              </w:rPr>
            </w:pPr>
            <w:r w:rsidRPr="00E938EC">
              <w:rPr>
                <w:rFonts w:ascii="Arial" w:hAnsi="Arial" w:cs="Arial"/>
                <w:color w:val="1A1A1A"/>
                <w:sz w:val="24"/>
                <w:szCs w:val="24"/>
              </w:rPr>
              <w:t>min. 24 miesiące (gwarancja producenta)</w:t>
            </w:r>
          </w:p>
        </w:tc>
      </w:tr>
    </w:tbl>
    <w:p w:rsidR="00E938EC" w:rsidRDefault="00E938EC" w:rsidP="00E938E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938EC" w:rsidRPr="00607F0E" w:rsidRDefault="00E938EC" w:rsidP="00E938EC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607F0E">
        <w:rPr>
          <w:rFonts w:ascii="Arial" w:hAnsi="Arial" w:cs="Arial"/>
          <w:b/>
          <w:sz w:val="24"/>
          <w:szCs w:val="24"/>
          <w:u w:val="single"/>
          <w:lang w:eastAsia="pl-PL"/>
        </w:rPr>
        <w:lastRenderedPageBreak/>
        <w:t xml:space="preserve">Zadanie 3. </w:t>
      </w:r>
      <w:r w:rsidRPr="00607F0E">
        <w:rPr>
          <w:rFonts w:ascii="Arial" w:hAnsi="Arial" w:cs="Arial"/>
          <w:b/>
          <w:sz w:val="24"/>
          <w:szCs w:val="24"/>
          <w:u w:val="single"/>
        </w:rPr>
        <w:t>Minikomputer z akceleratorem GPU dla Katedry Inteligentnych Systemów Informatycznych.</w:t>
      </w:r>
    </w:p>
    <w:p w:rsidR="00E938EC" w:rsidRPr="00E938EC" w:rsidRDefault="00E938EC" w:rsidP="00E938EC">
      <w:pPr>
        <w:pStyle w:val="Akapitzlist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Specyfikacja – Minikomputer z akceleratorem GPU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>Procesor GPU: tak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 xml:space="preserve">Jednostki obliczeniowe: </w:t>
      </w:r>
      <w:r w:rsidRPr="00E938EC">
        <w:rPr>
          <w:rFonts w:ascii="Arial" w:eastAsia="Times New Roman" w:hAnsi="Arial" w:cs="Arial"/>
          <w:sz w:val="24"/>
          <w:szCs w:val="24"/>
          <w:lang w:eastAsia="pl-PL"/>
        </w:rPr>
        <w:br/>
        <w:t>- co najmniej 384 rdzeni wspierających technologię CUDA</w:t>
      </w:r>
      <w:r w:rsidRPr="00E938EC">
        <w:rPr>
          <w:rFonts w:ascii="Arial" w:eastAsia="Times New Roman" w:hAnsi="Arial" w:cs="Arial"/>
          <w:sz w:val="24"/>
          <w:szCs w:val="24"/>
          <w:lang w:eastAsia="pl-PL"/>
        </w:rPr>
        <w:br/>
        <w:t>- co najmniej 48 rdzeni Tensor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>Pamięć RAM: co najmniej 8 GB LPDDR4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 xml:space="preserve">Możliwości obliczeniowe: </w:t>
      </w:r>
      <w:r w:rsidRPr="00E938EC">
        <w:rPr>
          <w:rFonts w:ascii="Arial" w:eastAsia="Times New Roman" w:hAnsi="Arial" w:cs="Arial"/>
          <w:sz w:val="24"/>
          <w:szCs w:val="24"/>
          <w:lang w:eastAsia="pl-PL"/>
        </w:rPr>
        <w:br/>
        <w:t>- co najmniej 6 TFLOPS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>Pamięć wewnętrzna: co najmniej 16 GB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>Wejścia/wyjścia:</w:t>
      </w:r>
      <w:r w:rsidRPr="00E938EC">
        <w:rPr>
          <w:rFonts w:ascii="Arial" w:eastAsia="Times New Roman" w:hAnsi="Arial" w:cs="Arial"/>
          <w:sz w:val="24"/>
          <w:szCs w:val="24"/>
          <w:lang w:eastAsia="pl-PL"/>
        </w:rPr>
        <w:br/>
        <w:t>- co najmniej 3x USB 3.0 (lub nowsze)</w:t>
      </w:r>
      <w:r w:rsidRPr="00E938EC">
        <w:rPr>
          <w:rFonts w:ascii="Arial" w:eastAsia="Times New Roman" w:hAnsi="Arial" w:cs="Arial"/>
          <w:sz w:val="24"/>
          <w:szCs w:val="24"/>
          <w:lang w:eastAsia="pl-PL"/>
        </w:rPr>
        <w:br/>
        <w:t>- co najmniej 40-pinów GPIO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>Obsługa interfejsów komunikacyjnych: I2C, I2S, SPI, UART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>Czas gwarancji: minimum 24 miesiące</w:t>
      </w:r>
    </w:p>
    <w:p w:rsidR="00E938EC" w:rsidRPr="00E938EC" w:rsidRDefault="00E938EC" w:rsidP="00E938EC">
      <w:pPr>
        <w:pStyle w:val="Akapitzlist"/>
        <w:numPr>
          <w:ilvl w:val="0"/>
          <w:numId w:val="37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938EC">
        <w:rPr>
          <w:rFonts w:ascii="Arial" w:eastAsia="Times New Roman" w:hAnsi="Arial" w:cs="Arial"/>
          <w:sz w:val="24"/>
          <w:szCs w:val="24"/>
          <w:lang w:eastAsia="pl-PL"/>
        </w:rPr>
        <w:t>Liczba sztuk: 1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938EC" w:rsidRPr="00E938EC" w:rsidRDefault="00E938EC" w:rsidP="00E938E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938EC">
        <w:rPr>
          <w:rFonts w:ascii="Arial" w:hAnsi="Arial" w:cs="Arial"/>
          <w:b/>
          <w:sz w:val="24"/>
          <w:szCs w:val="24"/>
        </w:rPr>
        <w:t>Uzasadnienie dla zastosowania technologii CUDA</w:t>
      </w:r>
    </w:p>
    <w:p w:rsidR="00E938EC" w:rsidRPr="00E938EC" w:rsidRDefault="00E938EC" w:rsidP="00E938EC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  <w:r w:rsidRPr="00E938EC">
        <w:rPr>
          <w:rFonts w:ascii="Arial" w:hAnsi="Arial" w:cs="Arial"/>
          <w:sz w:val="24"/>
          <w:szCs w:val="24"/>
        </w:rPr>
        <w:t xml:space="preserve">W ramach badań naukowych planuje się m.in. wykorzystanie oprogramowania NVIDIA CUDA-X - zbioru bibliotek, narzędzi i technologii, które zapewniają znacznie wyższą wydajność w porównaniu z alternatywami - w wielu domenach aplikacji, od sztucznej inteligencji (AI) po obliczenia o wysokiej wydajności (HPC). Pozwoli to nie tylko usprawnić sam proces prowadzenia badań naukowych, ale zakłada się także osiągnięcie poprawy czasu obliczeń, istotnego z punktu widzenia prowadzonych badań i opracowywanych metod. W szczególności ma to duże znaczenie dla wyspecjalizowanych zastosowań związanych z wykorzystaniem minikomputerów. </w:t>
      </w:r>
      <w:r w:rsidRPr="00E938EC">
        <w:rPr>
          <w:rFonts w:ascii="Arial" w:hAnsi="Arial" w:cs="Arial"/>
          <w:sz w:val="24"/>
          <w:szCs w:val="24"/>
        </w:rPr>
        <w:lastRenderedPageBreak/>
        <w:t xml:space="preserve">Oprogramowanie NVIDIA CUDA-X wymaga urządzeń posiadających </w:t>
      </w:r>
      <w:r w:rsidRPr="00E938EC">
        <w:rPr>
          <w:rFonts w:ascii="Arial" w:eastAsia="Times New Roman" w:hAnsi="Arial" w:cs="Arial"/>
          <w:sz w:val="24"/>
          <w:szCs w:val="24"/>
          <w:lang w:eastAsia="pl-PL"/>
        </w:rPr>
        <w:t>rdzenie wspierające technologię CUDA.</w:t>
      </w:r>
    </w:p>
    <w:p w:rsidR="00E938EC" w:rsidRPr="00E938EC" w:rsidRDefault="00E938EC" w:rsidP="00E938E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938EC" w:rsidRPr="00E938EC" w:rsidRDefault="00E938EC" w:rsidP="00E938EC">
      <w:pPr>
        <w:spacing w:after="0" w:line="360" w:lineRule="auto"/>
        <w:rPr>
          <w:rFonts w:ascii="Arial" w:hAnsi="Arial" w:cs="Arial"/>
          <w:sz w:val="24"/>
          <w:szCs w:val="24"/>
          <w:lang w:eastAsia="pl-PL"/>
        </w:rPr>
      </w:pPr>
    </w:p>
    <w:sectPr w:rsidR="00E938EC" w:rsidRPr="00E938E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B9C" w:rsidRDefault="00DE1B9C">
      <w:pPr>
        <w:spacing w:after="0" w:line="240" w:lineRule="auto"/>
      </w:pPr>
      <w:r>
        <w:separator/>
      </w:r>
    </w:p>
  </w:endnote>
  <w:endnote w:type="continuationSeparator" w:id="0">
    <w:p w:rsidR="00DE1B9C" w:rsidRDefault="00DE1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Default="001A30AD" w:rsidP="001A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223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0AD" w:rsidTr="00B71ED9">
      <w:tc>
        <w:tcPr>
          <w:tcW w:w="0" w:type="auto"/>
          <w:shd w:val="clear" w:color="auto" w:fill="auto"/>
          <w:vAlign w:val="center"/>
        </w:tcPr>
        <w:p w:rsidR="001A30AD" w:rsidRPr="00B44D15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0AD" w:rsidRPr="00B7388A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30AD" w:rsidRPr="00AB1BF2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0AD" w:rsidRPr="0099535B" w:rsidRDefault="001A30AD" w:rsidP="001A30AD">
          <w:pPr>
            <w:pStyle w:val="Bezodstpw"/>
            <w:jc w:val="center"/>
            <w:rPr>
              <w:noProof/>
            </w:rPr>
          </w:pPr>
        </w:p>
      </w:tc>
    </w:tr>
  </w:tbl>
  <w:p w:rsidR="001A30AD" w:rsidRPr="008F758E" w:rsidRDefault="001A30AD" w:rsidP="001A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30AD" w:rsidRPr="008F758E" w:rsidRDefault="001A30AD" w:rsidP="001A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30AD" w:rsidRPr="00D57C24" w:rsidRDefault="001A30AD" w:rsidP="001A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5634B" w:rsidRPr="001A30AD" w:rsidRDefault="001A30AD" w:rsidP="001A30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B9C" w:rsidRDefault="00DE1B9C">
      <w:pPr>
        <w:spacing w:after="0" w:line="240" w:lineRule="auto"/>
      </w:pPr>
      <w:r>
        <w:separator/>
      </w:r>
    </w:p>
  </w:footnote>
  <w:footnote w:type="continuationSeparator" w:id="0">
    <w:p w:rsidR="00DE1B9C" w:rsidRDefault="00DE1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Pr="0062295F" w:rsidRDefault="001A30AD" w:rsidP="001A30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ACA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/>
        <w:u w:val="none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/>
        <w:u w:val="none"/>
      </w:rPr>
    </w:lvl>
  </w:abstractNum>
  <w:abstractNum w:abstractNumId="4" w15:restartNumberingAfterBreak="0">
    <w:nsid w:val="012D3A6D"/>
    <w:multiLevelType w:val="multilevel"/>
    <w:tmpl w:val="299E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16108EA"/>
    <w:multiLevelType w:val="hybridMultilevel"/>
    <w:tmpl w:val="E912E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D56F88"/>
    <w:multiLevelType w:val="hybridMultilevel"/>
    <w:tmpl w:val="E8105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9144C9"/>
    <w:multiLevelType w:val="multilevel"/>
    <w:tmpl w:val="1A0C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99C5424"/>
    <w:multiLevelType w:val="multilevel"/>
    <w:tmpl w:val="535A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3AA0888"/>
    <w:multiLevelType w:val="multilevel"/>
    <w:tmpl w:val="0F8CB3D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B0B2820"/>
    <w:multiLevelType w:val="hybridMultilevel"/>
    <w:tmpl w:val="2EF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72CFC"/>
    <w:multiLevelType w:val="hybridMultilevel"/>
    <w:tmpl w:val="D2323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033B7"/>
    <w:multiLevelType w:val="multilevel"/>
    <w:tmpl w:val="594E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487F77A1"/>
    <w:multiLevelType w:val="hybridMultilevel"/>
    <w:tmpl w:val="E5881D30"/>
    <w:lvl w:ilvl="0" w:tplc="0CD21174">
      <w:start w:val="4"/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7E01E9"/>
    <w:multiLevelType w:val="hybridMultilevel"/>
    <w:tmpl w:val="05225FAC"/>
    <w:lvl w:ilvl="0" w:tplc="BAE208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C27A08"/>
    <w:multiLevelType w:val="multilevel"/>
    <w:tmpl w:val="98C4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50C43702"/>
    <w:multiLevelType w:val="hybridMultilevel"/>
    <w:tmpl w:val="E0A6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414E3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846B3C"/>
    <w:multiLevelType w:val="multilevel"/>
    <w:tmpl w:val="68D63A8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3342A4"/>
    <w:multiLevelType w:val="hybridMultilevel"/>
    <w:tmpl w:val="B2BEC46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E5B1D60"/>
    <w:multiLevelType w:val="hybridMultilevel"/>
    <w:tmpl w:val="B82AAA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1C6D58"/>
    <w:multiLevelType w:val="multilevel"/>
    <w:tmpl w:val="4592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63200E87"/>
    <w:multiLevelType w:val="multilevel"/>
    <w:tmpl w:val="113E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6404448E"/>
    <w:multiLevelType w:val="hybridMultilevel"/>
    <w:tmpl w:val="84B82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DB3824"/>
    <w:multiLevelType w:val="multilevel"/>
    <w:tmpl w:val="FF9A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2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E60CB1"/>
    <w:multiLevelType w:val="hybridMultilevel"/>
    <w:tmpl w:val="1B56137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 w15:restartNumberingAfterBreak="0">
    <w:nsid w:val="7683468E"/>
    <w:multiLevelType w:val="hybridMultilevel"/>
    <w:tmpl w:val="EDC4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B07343"/>
    <w:multiLevelType w:val="multilevel"/>
    <w:tmpl w:val="4ADE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7ABD6EFF"/>
    <w:multiLevelType w:val="multilevel"/>
    <w:tmpl w:val="F8DA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0"/>
  </w:num>
  <w:num w:numId="2">
    <w:abstractNumId w:val="13"/>
  </w:num>
  <w:num w:numId="3">
    <w:abstractNumId w:val="18"/>
  </w:num>
  <w:num w:numId="4">
    <w:abstractNumId w:val="32"/>
  </w:num>
  <w:num w:numId="5">
    <w:abstractNumId w:val="34"/>
  </w:num>
  <w:num w:numId="6">
    <w:abstractNumId w:val="14"/>
  </w:num>
  <w:num w:numId="7">
    <w:abstractNumId w:val="21"/>
  </w:num>
  <w:num w:numId="8">
    <w:abstractNumId w:val="30"/>
  </w:num>
  <w:num w:numId="9">
    <w:abstractNumId w:val="6"/>
  </w:num>
  <w:num w:numId="10">
    <w:abstractNumId w:val="24"/>
  </w:num>
  <w:num w:numId="11">
    <w:abstractNumId w:val="12"/>
  </w:num>
  <w:num w:numId="12">
    <w:abstractNumId w:val="25"/>
  </w:num>
  <w:num w:numId="13">
    <w:abstractNumId w:val="22"/>
  </w:num>
  <w:num w:numId="14">
    <w:abstractNumId w:val="8"/>
  </w:num>
  <w:num w:numId="15">
    <w:abstractNumId w:val="33"/>
  </w:num>
  <w:num w:numId="16">
    <w:abstractNumId w:val="26"/>
  </w:num>
  <w:num w:numId="17">
    <w:abstractNumId w:val="28"/>
  </w:num>
  <w:num w:numId="18">
    <w:abstractNumId w:val="23"/>
  </w:num>
  <w:num w:numId="19">
    <w:abstractNumId w:val="16"/>
  </w:num>
  <w:num w:numId="20">
    <w:abstractNumId w:val="29"/>
  </w:num>
  <w:num w:numId="21">
    <w:abstractNumId w:val="36"/>
  </w:num>
  <w:num w:numId="22">
    <w:abstractNumId w:val="31"/>
  </w:num>
  <w:num w:numId="23">
    <w:abstractNumId w:val="35"/>
  </w:num>
  <w:num w:numId="24">
    <w:abstractNumId w:val="7"/>
  </w:num>
  <w:num w:numId="25">
    <w:abstractNumId w:val="20"/>
  </w:num>
  <w:num w:numId="26">
    <w:abstractNumId w:val="9"/>
  </w:num>
  <w:num w:numId="27">
    <w:abstractNumId w:val="4"/>
  </w:num>
  <w:num w:numId="28">
    <w:abstractNumId w:val="1"/>
  </w:num>
  <w:num w:numId="29">
    <w:abstractNumId w:val="27"/>
  </w:num>
  <w:num w:numId="30">
    <w:abstractNumId w:val="0"/>
  </w:num>
  <w:num w:numId="31">
    <w:abstractNumId w:val="2"/>
  </w:num>
  <w:num w:numId="32">
    <w:abstractNumId w:val="3"/>
  </w:num>
  <w:num w:numId="33">
    <w:abstractNumId w:val="17"/>
  </w:num>
  <w:num w:numId="34">
    <w:abstractNumId w:val="5"/>
  </w:num>
  <w:num w:numId="35">
    <w:abstractNumId w:val="15"/>
  </w:num>
  <w:num w:numId="36">
    <w:abstractNumId w:val="19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172B2A"/>
    <w:rsid w:val="001A30AD"/>
    <w:rsid w:val="001F252E"/>
    <w:rsid w:val="00237526"/>
    <w:rsid w:val="002C4978"/>
    <w:rsid w:val="002D2869"/>
    <w:rsid w:val="002D58F8"/>
    <w:rsid w:val="00374C20"/>
    <w:rsid w:val="003A58EE"/>
    <w:rsid w:val="003F240F"/>
    <w:rsid w:val="00400330"/>
    <w:rsid w:val="00541A1B"/>
    <w:rsid w:val="00607F0E"/>
    <w:rsid w:val="00655780"/>
    <w:rsid w:val="007346B6"/>
    <w:rsid w:val="007549EA"/>
    <w:rsid w:val="00767A74"/>
    <w:rsid w:val="00772B80"/>
    <w:rsid w:val="007E036C"/>
    <w:rsid w:val="008B2C6E"/>
    <w:rsid w:val="008E3C91"/>
    <w:rsid w:val="009B49A8"/>
    <w:rsid w:val="009B7942"/>
    <w:rsid w:val="00A33459"/>
    <w:rsid w:val="00A35D57"/>
    <w:rsid w:val="00A758FF"/>
    <w:rsid w:val="00AC4721"/>
    <w:rsid w:val="00C81311"/>
    <w:rsid w:val="00CF4DF5"/>
    <w:rsid w:val="00DE1B9C"/>
    <w:rsid w:val="00E1633C"/>
    <w:rsid w:val="00E86EBA"/>
    <w:rsid w:val="00E938EC"/>
    <w:rsid w:val="00F051C4"/>
    <w:rsid w:val="00F526EE"/>
    <w:rsid w:val="00F9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E21CA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1A3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0AD"/>
  </w:style>
  <w:style w:type="paragraph" w:styleId="Bezodstpw">
    <w:name w:val="No Spacing"/>
    <w:uiPriority w:val="1"/>
    <w:qFormat/>
    <w:rsid w:val="001A30A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8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549EA"/>
    <w:pPr>
      <w:widowControl w:val="0"/>
      <w:suppressAutoHyphens/>
      <w:spacing w:after="0" w:line="240" w:lineRule="auto"/>
      <w:textAlignment w:val="baseline"/>
    </w:pPr>
    <w:rPr>
      <w:rFonts w:ascii="Calibri" w:eastAsia="Noto Serif CJK SC" w:hAnsi="Calibri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2041</Words>
  <Characters>12249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3</cp:revision>
  <cp:lastPrinted>2022-08-02T07:36:00Z</cp:lastPrinted>
  <dcterms:created xsi:type="dcterms:W3CDTF">2022-09-23T07:59:00Z</dcterms:created>
  <dcterms:modified xsi:type="dcterms:W3CDTF">2022-09-23T08:12:00Z</dcterms:modified>
</cp:coreProperties>
</file>