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3FD" w:rsidRDefault="001103FD" w:rsidP="001103FD">
      <w:pPr>
        <w:spacing w:before="40"/>
        <w:ind w:right="-460"/>
        <w:jc w:val="right"/>
        <w:rPr>
          <w:bCs/>
          <w:i/>
          <w:iCs/>
        </w:rPr>
      </w:pPr>
      <w:bookmarkStart w:id="0" w:name="_Hlk111101882"/>
      <w:r>
        <w:rPr>
          <w:bCs/>
          <w:i/>
          <w:iCs/>
        </w:rPr>
        <w:t>Załącznik nr 1 do formularz</w:t>
      </w:r>
      <w:r w:rsidR="003A41DF">
        <w:rPr>
          <w:bCs/>
          <w:i/>
          <w:iCs/>
        </w:rPr>
        <w:t xml:space="preserve">a </w:t>
      </w:r>
      <w:r>
        <w:rPr>
          <w:bCs/>
          <w:i/>
          <w:iCs/>
        </w:rPr>
        <w:t xml:space="preserve"> ofertowego</w:t>
      </w:r>
    </w:p>
    <w:p w:rsidR="001103FD" w:rsidRDefault="001103FD" w:rsidP="001103FD">
      <w:pPr>
        <w:rPr>
          <w:b/>
          <w:bCs/>
          <w:sz w:val="28"/>
          <w:szCs w:val="28"/>
        </w:rPr>
      </w:pPr>
    </w:p>
    <w:p w:rsidR="00570BA4" w:rsidRPr="001103FD" w:rsidRDefault="001103FD" w:rsidP="00570BA4">
      <w:pPr>
        <w:jc w:val="center"/>
        <w:rPr>
          <w:b/>
          <w:bCs/>
          <w:sz w:val="28"/>
          <w:szCs w:val="28"/>
        </w:rPr>
      </w:pPr>
      <w:r w:rsidRPr="001103FD">
        <w:rPr>
          <w:b/>
          <w:bCs/>
          <w:sz w:val="28"/>
          <w:szCs w:val="28"/>
        </w:rPr>
        <w:t>Parametry techniczne – Opis</w:t>
      </w:r>
    </w:p>
    <w:p w:rsidR="001103FD" w:rsidRPr="001103FD" w:rsidRDefault="001103FD" w:rsidP="001103FD">
      <w:pPr>
        <w:jc w:val="center"/>
        <w:rPr>
          <w:bCs/>
          <w:sz w:val="20"/>
          <w:szCs w:val="20"/>
        </w:rPr>
      </w:pPr>
      <w:r w:rsidRPr="001103FD">
        <w:rPr>
          <w:rFonts w:ascii="Arial" w:hAnsi="Arial" w:cs="Arial"/>
          <w:sz w:val="20"/>
          <w:szCs w:val="20"/>
        </w:rPr>
        <w:t>Szczegółowy opis przedmiotu zamówienia</w:t>
      </w:r>
      <w:r w:rsidRPr="001103FD">
        <w:rPr>
          <w:bCs/>
          <w:sz w:val="20"/>
          <w:szCs w:val="20"/>
        </w:rPr>
        <w:t xml:space="preserve"> </w:t>
      </w:r>
    </w:p>
    <w:p w:rsidR="00570BA4" w:rsidRPr="001E4C76" w:rsidRDefault="00570BA4">
      <w:pPr>
        <w:pStyle w:val="Akapitzlist"/>
        <w:numPr>
          <w:ilvl w:val="0"/>
          <w:numId w:val="18"/>
        </w:numPr>
        <w:ind w:left="142" w:hanging="284"/>
        <w:rPr>
          <w:rFonts w:ascii="Arial" w:hAnsi="Arial" w:cs="Arial"/>
          <w:b/>
          <w:sz w:val="24"/>
          <w:szCs w:val="24"/>
          <w:u w:val="single"/>
          <w:lang w:val="pl-PL"/>
        </w:rPr>
      </w:pPr>
      <w:r w:rsidRPr="001E4C76">
        <w:rPr>
          <w:rFonts w:ascii="Arial" w:hAnsi="Arial" w:cs="Arial"/>
          <w:b/>
          <w:sz w:val="24"/>
          <w:szCs w:val="24"/>
          <w:u w:val="single"/>
          <w:lang w:val="pl-PL"/>
        </w:rPr>
        <w:t>Serwer – 1 sztuka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3"/>
        <w:gridCol w:w="1777"/>
        <w:gridCol w:w="4093"/>
        <w:gridCol w:w="4249"/>
      </w:tblGrid>
      <w:tr w:rsidR="00BC16AB" w:rsidRPr="001E4C76" w:rsidTr="00247428">
        <w:trPr>
          <w:trHeight w:val="514"/>
        </w:trPr>
        <w:tc>
          <w:tcPr>
            <w:tcW w:w="263" w:type="pct"/>
            <w:shd w:val="clear" w:color="auto" w:fill="D9D9D9" w:themeFill="background1" w:themeFillShade="D9"/>
            <w:vAlign w:val="center"/>
          </w:tcPr>
          <w:p w:rsidR="00BC16AB" w:rsidRPr="001E4C76" w:rsidRDefault="00BC16AB" w:rsidP="00A75250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832" w:type="pct"/>
            <w:shd w:val="clear" w:color="auto" w:fill="D9D9D9" w:themeFill="background1" w:themeFillShade="D9"/>
            <w:vAlign w:val="center"/>
          </w:tcPr>
          <w:p w:rsidR="00BC16AB" w:rsidRPr="001E4C76" w:rsidRDefault="00BC16AB" w:rsidP="00A75250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Nazwa elementu, parametru lub cechy</w:t>
            </w:r>
          </w:p>
        </w:tc>
        <w:tc>
          <w:tcPr>
            <w:tcW w:w="1916" w:type="pct"/>
            <w:shd w:val="clear" w:color="auto" w:fill="D9D9D9" w:themeFill="background1" w:themeFillShade="D9"/>
            <w:vAlign w:val="center"/>
          </w:tcPr>
          <w:p w:rsidR="00BC16AB" w:rsidRPr="001E4C76" w:rsidRDefault="00BC16AB" w:rsidP="00A75250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Opis wymagań serwera</w:t>
            </w:r>
          </w:p>
        </w:tc>
        <w:tc>
          <w:tcPr>
            <w:tcW w:w="1990" w:type="pct"/>
            <w:shd w:val="clear" w:color="auto" w:fill="D9D9D9" w:themeFill="background1" w:themeFillShade="D9"/>
            <w:vAlign w:val="center"/>
          </w:tcPr>
          <w:p w:rsidR="00BC16AB" w:rsidRPr="001E4C76" w:rsidRDefault="00247428" w:rsidP="00A75250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Proponowane rozwiązanie</w:t>
            </w: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Ilość sztuk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C16AB" w:rsidRPr="001E4C76" w:rsidTr="00247428">
        <w:trPr>
          <w:trHeight w:val="626"/>
        </w:trPr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Obudowa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Do instalacji w szafie Rack 19", wysokość nie więcej niż 2U, z zestawem szyn do mocowania w szafie i wysuwania do celów serwisowych. Dodatkowo wymagane ramię do organizacji w szafie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Procesor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Architektura x86, maksymalny TDP dla procesora – 135W. Wymagana ilość rdzeni dla procesora – min 16. Minimalna częstotliwość pracy procesora 2.4GHz. Minimalna ilość kanałów procesora – 8 .  Wynik wydajności procesora zainstalowanego w oferowanym serwerze nie powinien być nizszy niż 231 punktów base w teście  SPECrate 2017 Integer, opublikowanym przez SPEC.org (</w:t>
            </w:r>
            <w:hyperlink r:id="rId8" w:history="1">
              <w:r w:rsidRPr="001E4C76">
                <w:rPr>
                  <w:rFonts w:ascii="Arial" w:hAnsi="Arial" w:cs="Arial"/>
                  <w:sz w:val="18"/>
                  <w:szCs w:val="18"/>
                </w:rPr>
                <w:t>www.spec.org</w:t>
              </w:r>
            </w:hyperlink>
            <w:r w:rsidRPr="001E4C76">
              <w:rPr>
                <w:rFonts w:ascii="Arial" w:hAnsi="Arial" w:cs="Arial"/>
                <w:sz w:val="18"/>
                <w:szCs w:val="18"/>
              </w:rPr>
              <w:t>) dla konfiguracji dwuprocesorowej. Test przeprowadzony przez producenta serwera musi być zamieszczony na stronie spec.org. Obsługa minimum dwóch procesorów.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Liczba procesorów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Płyta główna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Płyta główna dedykowana do pracy w serwerach, wyprodukowana przez producenta serwera z możliwością zainstalowania do dwóch procesorów wykonujących 64-bitowe instrukcje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Pamięć operacyjna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Zainstalowane minimum 128GB pamięci RAM o częstotliwości 3200MHz, w modułach minimum 32GB.</w:t>
            </w:r>
          </w:p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Zainstalowana pamięć powinna być sygnowana i zoptymalizowana do użycia przez producenta serwera.</w:t>
            </w:r>
          </w:p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Minimum 32 sloty na pamięć. Możliwość rozbudowy do  8TB RAM przy użyciu pamięci RDIMM</w:t>
            </w:r>
          </w:p>
          <w:p w:rsidR="00BC16AB" w:rsidRPr="001E4C76" w:rsidRDefault="00BC16AB" w:rsidP="00A75250">
            <w:pPr>
              <w:pStyle w:val="Bezodstpw"/>
              <w:rPr>
                <w:rFonts w:ascii="Arial" w:hAnsi="Arial" w:cs="Aria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Łączna ilość zainstalowanej pamięci RDIMM oraz pamięci persistent memory powinna wynosić minimum 12TB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Zabezpieczenie pamięci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memory mirroring, ECC, SDDC, ADDDC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Procesor Graficzny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Zintegrowana karta graficzna z minimum 16MB pamięci osiągająca rozdzielczość 1920x1200 przy 60 Hz.</w:t>
            </w:r>
          </w:p>
          <w:p w:rsidR="00BC16AB" w:rsidRPr="001E4C76" w:rsidRDefault="00BC16AB" w:rsidP="00A75250">
            <w:pPr>
              <w:pStyle w:val="Bezodstpw"/>
              <w:rPr>
                <w:rFonts w:ascii="Arial" w:hAnsi="Arial" w:cs="Aria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1 port VGA na tylnym panelu serwera. Wymagana możliwość instalacji portu VGA na panelu przednim.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Rozbudowa dysków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 chwili dostawy serwer musi posiadać zainstalowane minimum:</w:t>
            </w:r>
          </w:p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- 4 dyski SSD hot-swap o pojemności min. 480GB . Wymagane parametry dysków: DWPD (5 lat) minimum 5, TBW minimum 4380.</w:t>
            </w:r>
          </w:p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- 12 dysków hot-swap SATA 12TB 7200 obr.</w:t>
            </w:r>
          </w:p>
          <w:p w:rsidR="00BC16AB" w:rsidRPr="001E4C76" w:rsidRDefault="00BC16AB" w:rsidP="00A75250">
            <w:pPr>
              <w:pStyle w:val="Bezodstpw"/>
              <w:rPr>
                <w:rFonts w:ascii="Arial" w:hAnsi="Arial" w:cs="Aria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Serwer powinien umożliwiać rozbudowę na potrzeby instalacji dodatkowych 4 sztuk dysków 3.5 cala.  Wymagana możliwość instalacji </w:t>
            </w:r>
            <w:r w:rsidRPr="001E4C76">
              <w:rPr>
                <w:rFonts w:ascii="Arial" w:hAnsi="Arial" w:cs="Arial"/>
                <w:sz w:val="18"/>
                <w:szCs w:val="18"/>
              </w:rPr>
              <w:lastRenderedPageBreak/>
              <w:t xml:space="preserve">modułu obsługującego 2 dyski M.2 . Nie dopuszcza się rozwiązania, w którym dyski M.2 zajmują którykolwiek ze slotów PCIe. </w:t>
            </w: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Możliwość instalacji napędu Flash na USB w wewnętrznym porcie USB serwera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lastRenderedPageBreak/>
              <w:t>10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Kontroler dyskowy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Zainstalowany sprzętowy kontroler SAS z pamięcią flash o pojemności min. 8GB.</w:t>
            </w:r>
          </w:p>
          <w:p w:rsidR="00BC16AB" w:rsidRPr="001E4C76" w:rsidRDefault="00BC16AB" w:rsidP="00A75250">
            <w:pPr>
              <w:pStyle w:val="Bezodstpw"/>
              <w:rPr>
                <w:rFonts w:ascii="Arial" w:hAnsi="Arial" w:cs="Aria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Zainstalowany kontroler FC 32Gb z dwoma portami, wyposażony we wkładki FC.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Zasilacz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Minimum dwa redundantne zasilacze o mocy minimum 750W z certyfikatem minimum Platinum. </w:t>
            </w: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Moc pojedynczego zasilacza musi być wystarczająca do zasilenia serwera w oferowanej konfiguracji.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Interfejsy sieciowe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Zainstalowana przynajmniej jedna dwuportowa karta 10/25Gb SFP28 nie zajmująca slotu PCIe.</w:t>
            </w:r>
          </w:p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Wymagana funkcjonalność zainstalowanych portów: sprzętowa obsługa protokołów VXLAN, NVGRE, GENEVE, obsługa ruchu sieciowego z podziałem na poszczególne maszyny wirtualne, obsługa do 256 kolejek dla maszyn wirtualnych, obsługa ramek Jumbo do 9.6Kb, obsługa 802.1p, 802.3ad. </w:t>
            </w: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Jeden port RJ-45 o przepustowości 1GbE dedykowany dla karty zarządzającej. Dołączone 2 wkładki 25Gbit SR SFP28.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13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Dodatkowe sloty I/O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 chwili dostawy serwer powinien posiadać 3 sloty PCIe Gen4. Możliwość rozbudowy serwera do 6 slotów PCIe.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14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Dodatkowe porty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>
            <w:pPr>
              <w:numPr>
                <w:ilvl w:val="0"/>
                <w:numId w:val="2"/>
              </w:numPr>
              <w:shd w:val="clear" w:color="auto" w:fill="FFFFFF"/>
              <w:tabs>
                <w:tab w:val="num" w:pos="253"/>
              </w:tabs>
              <w:spacing w:after="0" w:line="240" w:lineRule="auto"/>
              <w:ind w:left="0" w:hanging="685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 przodu obudowy: 1x USB 3.1, 1x USB 2.0, Możliwość instalacji portu VGA.</w:t>
            </w:r>
          </w:p>
          <w:p w:rsidR="00BC16AB" w:rsidRPr="001E4C76" w:rsidRDefault="00BC16AB">
            <w:pPr>
              <w:numPr>
                <w:ilvl w:val="0"/>
                <w:numId w:val="2"/>
              </w:numPr>
              <w:shd w:val="clear" w:color="auto" w:fill="FFFFFF"/>
              <w:tabs>
                <w:tab w:val="num" w:pos="253"/>
              </w:tabs>
              <w:spacing w:after="0" w:line="240" w:lineRule="auto"/>
              <w:ind w:left="0" w:hanging="685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 tyłu obudowy: 2x USB 3.1,  1x VGA . Możliwość instalacji portu DB9</w:t>
            </w:r>
          </w:p>
          <w:p w:rsidR="00BC16AB" w:rsidRPr="001E4C76" w:rsidRDefault="00BC16AB">
            <w:pPr>
              <w:numPr>
                <w:ilvl w:val="0"/>
                <w:numId w:val="2"/>
              </w:numPr>
              <w:shd w:val="clear" w:color="auto" w:fill="FFFFFF"/>
              <w:tabs>
                <w:tab w:val="num" w:pos="253"/>
              </w:tabs>
              <w:spacing w:after="0" w:line="240" w:lineRule="auto"/>
              <w:ind w:left="0" w:hanging="685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wewnątrz obudowy: 1x USB3.1</w:t>
            </w:r>
          </w:p>
        </w:tc>
        <w:tc>
          <w:tcPr>
            <w:tcW w:w="1990" w:type="pct"/>
            <w:vAlign w:val="center"/>
          </w:tcPr>
          <w:p w:rsidR="00BC16AB" w:rsidRPr="001E4C76" w:rsidRDefault="00BC16AB">
            <w:pPr>
              <w:numPr>
                <w:ilvl w:val="0"/>
                <w:numId w:val="2"/>
              </w:numPr>
              <w:shd w:val="clear" w:color="auto" w:fill="FFFFFF"/>
              <w:tabs>
                <w:tab w:val="num" w:pos="253"/>
              </w:tabs>
              <w:spacing w:after="0" w:line="240" w:lineRule="auto"/>
              <w:ind w:left="0" w:hanging="68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15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Chłodzenie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Wentylatory wspierające wymianę Hot-Swap, zamontowane nadmiarowo minimum N+1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16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Zarządzanie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Zintegrowany z płytą główną serwera, niezależny od systemu operacyjnego, sprzętowy kontroler zdalnego zarzadzania umożliwiający: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Monitoring stanu systemu (komponenty objęte monitoringiem to przynajmniej: cpu, pamięć RAM, dyski, karty PCI, zasilacze, wentylatory, płyta główna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Pozyskanie następujących informacji o serwerze: nazwa, typ i model, numer seryjny, nazwa systemu, wersja UEFI oraz BMC, adres ip karty zarządzającej, utylizacja cpu, utylizacja pamięci oraz komponentów I/O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Logowanie zdarzeń systemowych oraz związanych z działaniami użytkownika. Każdy dziennik zdarzeń powinien mieć możliwość zapisu co najmniej 1024 rekordów.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Logowanie zdarzeń związanych z utrzymaniem systemu jak upgrade firmware, zmiana/instalacja sprzętu. System powinien umożliwiać zapisanie minimum 250 zdarzeń.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Wysyłanie określonych zdarzeń poprzez SMTP oraz SNMPv3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Update systemowego firmware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Monitoring i możliwość ograniczenia poboru prądu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Zdalne włączanie/wyłączanie/restart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Zapis video zdalnych sesji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Podmontowanie lokalnych mediów z wykorzystaniem Java client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Przekserowanie konsoli szeregowej przez IPMI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Zrzut ekranu w momencie zawieszenia systemu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Możliwość przejęcia zdalnego ekranu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Możliwość zdalnej instalacji systemu operacyjnego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lastRenderedPageBreak/>
              <w:t>Alerty Syslog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Przekierowanie konsoli szeregowej przez SSH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Wyświetlanie danych aktualnych I historycznych dla użycia energii oraz temperatury serwera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Możliwość mapowania obrazów ISO z lokalnego dysku operatora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Możliwość mapowania obrazów ISO przez HTTPS, SFTP, CIFS oraz NFS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Możliwość jednoczesnej pracy do 6 użytkowników przez wirtualną konsolę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wspierane protokoły/interfejsy: IPMI v2.0, SNMP v3, CIM, DCMI v1.5, REST API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19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Wymaga się możliwości wykorzystania frontowego portu USB do celów serwisowych (komunikacja portu z karta zarządzającą) bez możliwości uzyskania jakiejkolwiek funkcjonalności na poziomie zainstalowanego systemu operacyjnego. Funkcjonalność ta musi być realizowana na poziomie sprzętowym i musi być niezależna od zainstalowanego systemu operacyjnego.</w:t>
            </w:r>
          </w:p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Wraz z serwerem powinno zostać dostarczone dodatkowe oprogramowanie zarządzające umożliwiające: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1"/>
              </w:numPr>
              <w:ind w:left="0" w:hanging="310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zarządzenie infrastruktura serwerów, przełączników i storage bez udziału dedykowanego agenta</w:t>
            </w:r>
            <w:r w:rsidRPr="001E4C76">
              <w:rPr>
                <w:rFonts w:ascii="Arial" w:hAnsi="Arial" w:cs="Arial"/>
                <w:sz w:val="18"/>
                <w:szCs w:val="18"/>
              </w:rPr>
              <w:br/>
              <w:t>przedstawianie graficznej reprezentacji zarządzanych urządzeń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możliwość skalowania do minimum 1000 urządzeń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obsługę szyfrowanej komunikacji z zarządzanymi urządzeniami, wsparcie dla NIST 800-131A oraz FIPS 140-2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wsparcie dla certyfikatów SSL tzw self-signed oraz zewnętrznych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udostępnianie szybkiego podgląd stanu środowiska</w:t>
            </w:r>
            <w:r w:rsidRPr="001E4C76">
              <w:rPr>
                <w:rFonts w:ascii="Arial" w:hAnsi="Arial" w:cs="Arial"/>
                <w:sz w:val="18"/>
                <w:szCs w:val="18"/>
              </w:rPr>
              <w:br/>
              <w:t>udostępnianie podsumowania stanu dla każdego urządzenia</w:t>
            </w:r>
            <w:r w:rsidRPr="001E4C76">
              <w:rPr>
                <w:rFonts w:ascii="Arial" w:hAnsi="Arial" w:cs="Arial"/>
                <w:sz w:val="18"/>
                <w:szCs w:val="18"/>
              </w:rPr>
              <w:br/>
              <w:t>tworzenie alertów przy zmianie stanu urządzenia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monitorowanie oraz tracking zużycia energii przez monitorowane urządzenie, możliwość ustalania granicy zużycia energii, konsola zarządzania oparta o HTML 5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dostępność konsoli monitorującej na urządzeniach przenośnych ze wsparciem dla systemu Android oraz iOS, aplikacja musi umożliwiać włączenie wyłączenie oraz restart urządzenia, musi również mieć możliwość aktywowania diody lokacyjnej na urządzeniu,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automatyczne wykrywanie dołączanych systemów oraz szczegółowa inwentaryzacja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możliwość podnoszenia wersji oprogramowania dla komponentów zarządzanych serwerów w oparciu o repozytorium lokalne jak i zdalne dostępne na stronie producenta oferowanego rozwiązania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definiowanie polityk zgodności wersji firmware komponentów zarządzanych urządzeń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definiowanie roli użytkowników oprogramowania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obsługa REST API oraz Windows PowerShell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obsługa SNMP, SYSLOG, Email Forwarding</w:t>
            </w:r>
          </w:p>
          <w:p w:rsidR="00C07007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autentykacja użytkowników: centralna (możliwość definiowania wymaganego poziomu skomplikowania danych autentykacyjnych) oraz integracja z MS AD oraz obsługa single sign on oraz SAML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lastRenderedPageBreak/>
              <w:t>obsługa tzw Forward Secrecy w komunikacji z zarządzanymi urządzeniami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przedstawianie historycznych aktywności użytkowników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blokowanie możliwości podłączenia innego systemu zarządzania do urządzeń zarządzanych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tworzenie dziennika zdarzeń ukończonych sukcesem lub bledem,  oraz zdarzeń będących w trakcie. Możliwość definiowania filtrów wyświetlanych zdarzeń z dziennika. Możliwość eksportu dziennika zdarzeń do pliku csv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Obsługa NTP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przesyłanie alertow do konsoli firm trzecich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tworzenie wzorców konfiguracji zarządzanych urządzeń (definiowanie przez konsole albo kopiowanie konfiguracji z już zaimplementowanych urządzeń)  instalowanie systemów operacyjnych oraz wirtualizatorów Vmware i Hyper-V. Wymagana jest integracja konsoli zarządzania z konsolą wirtualizatora tak, aby zarządzanie środowiskiem sprzętowym  mogło odbywać się z konsoli wirtualizatora. Wymaga się możliwości instalacji systemu na przynajmniej 20 nodach jednocześnie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możliwość automatycznego tworzenia zgłoszeń w centrum serwisowym producenta dla określonych zdarzeń wraz z przesyłem plików diagnostycznych,</w:t>
            </w:r>
          </w:p>
          <w:p w:rsidR="00BC16AB" w:rsidRPr="001E4C76" w:rsidRDefault="00BC16AB">
            <w:pPr>
              <w:pStyle w:val="Bezodstpw"/>
              <w:numPr>
                <w:ilvl w:val="0"/>
                <w:numId w:val="20"/>
              </w:numPr>
              <w:ind w:left="0" w:hanging="283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Producent serwera ponadto powinien mieć w swojej ofercie narzędzia integrujące zarządzanie infrastrukturą z następującymi produktami:</w:t>
            </w:r>
          </w:p>
          <w:p w:rsidR="00BC16AB" w:rsidRPr="001E4C76" w:rsidRDefault="00BC16AB" w:rsidP="00A752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VMware vCenter, Microsoft AdminCenter, Microsoft SystemCenter, RedHat CloudForms, Splunk.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rPr>
          <w:trHeight w:val="688"/>
        </w:trPr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lastRenderedPageBreak/>
              <w:t>17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Funkcje zabezpieczeń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Możliwość instalacji czujnika otwarcia obudowy zintegrowanego z  modułem zarządzania serwerem, hasło włączania, hasło administratora, moduł TPM. Zainstalowany przedni panel zabezpieczający zamykany na klucz.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18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Urządzenia hot swap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Dyski twarde, zasilacze, wentylatory.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19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Obsługa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Możliwość instalacji serwera oraz serwisowania (instalacji oraz deinstalacji) komponentów takich jak: riser’ów PCIe, backplane’ów dysków twardych, kart rozszerzeń, wentylatorów, bez użycia dodatkowych narzędzi mechanicznych.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20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Diagnostyka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Możliwość przewidywania awarii dla procesorów, regulatorów napięcia, pamięci, dysków wewnętrznych, wentylatorów, zasilaczy, kontrolerów RAID</w:t>
            </w:r>
          </w:p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Możliwość użycia aplikacji mobilnej na telefonie, do przeglądania awarii, konfiguracji i włączenia/wyłączenia serwera.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21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Systemy operacyjne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Microsoft Windows Server standard najnowszy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rPr>
          <w:trHeight w:val="155"/>
        </w:trPr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22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Waga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maximum: 38.8kg</w:t>
            </w:r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16AB" w:rsidRPr="001E4C76" w:rsidTr="00247428">
        <w:tc>
          <w:tcPr>
            <w:tcW w:w="263" w:type="pct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23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Gwarancja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60 miesięcy gwarancji producenta on-site z czasem naprawy następnego dnia roboczego. </w:t>
            </w:r>
            <w:bookmarkStart w:id="1" w:name="_Hlk113444192"/>
            <w:r w:rsidRPr="001E4C76">
              <w:rPr>
                <w:rFonts w:ascii="Arial" w:hAnsi="Arial" w:cs="Arial"/>
                <w:sz w:val="18"/>
                <w:szCs w:val="18"/>
              </w:rPr>
              <w:t>Możliwość wykupienia dodatkowego wsparcia z gwarantowanym czasem naprawy w ciągu 6 godzin</w:t>
            </w:r>
            <w:bookmarkEnd w:id="1"/>
            <w:r w:rsidRPr="001E4C76">
              <w:rPr>
                <w:rFonts w:ascii="Arial" w:hAnsi="Arial" w:cs="Arial"/>
                <w:sz w:val="18"/>
                <w:szCs w:val="18"/>
              </w:rPr>
              <w:t xml:space="preserve">. </w:t>
            </w:r>
            <w:bookmarkStart w:id="2" w:name="_Hlk113444243"/>
            <w:r w:rsidRPr="001E4C76">
              <w:rPr>
                <w:rFonts w:ascii="Arial" w:hAnsi="Arial" w:cs="Arial"/>
                <w:sz w:val="18"/>
                <w:szCs w:val="18"/>
              </w:rPr>
              <w:t xml:space="preserve">W przypadku braku funkcjonalności przewidywania awarii  dla wszystkich komponentów wymienionych w punkcie Diagnostyka  wymagane jest dostarczenie serwera nadmiarowego, mogącego zastąpić funkcjonalni jak i wydajnościowo wymagane </w:t>
            </w:r>
            <w:r w:rsidRPr="001E4C76">
              <w:rPr>
                <w:rFonts w:ascii="Arial" w:hAnsi="Arial" w:cs="Arial"/>
                <w:sz w:val="18"/>
                <w:szCs w:val="18"/>
              </w:rPr>
              <w:lastRenderedPageBreak/>
              <w:t>powyżej maszyny. Wszystkie komponenty serwera powinny być sygnowane i zoptymalizowane do użycia przez producenta serwera.</w:t>
            </w:r>
            <w:bookmarkEnd w:id="2"/>
          </w:p>
        </w:tc>
        <w:tc>
          <w:tcPr>
            <w:tcW w:w="1990" w:type="pct"/>
            <w:vAlign w:val="center"/>
          </w:tcPr>
          <w:p w:rsidR="00BC16AB" w:rsidRPr="001E4C76" w:rsidRDefault="00BC16AB" w:rsidP="00A75250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261CC" w:rsidRPr="001E4C76" w:rsidRDefault="00C261CC" w:rsidP="00C261CC">
      <w:pPr>
        <w:pStyle w:val="Akapitzlist"/>
        <w:spacing w:after="0" w:line="240" w:lineRule="auto"/>
        <w:ind w:left="142"/>
        <w:textAlignment w:val="baseline"/>
        <w:rPr>
          <w:rFonts w:ascii="Arial" w:hAnsi="Arial" w:cs="Arial"/>
          <w:lang w:val="pl-PL" w:eastAsia="pl-PL"/>
        </w:rPr>
      </w:pPr>
    </w:p>
    <w:p w:rsidR="00C261CC" w:rsidRPr="001E4C76" w:rsidRDefault="00C261CC" w:rsidP="00C261CC">
      <w:pPr>
        <w:pStyle w:val="Akapitzlist"/>
        <w:spacing w:after="0" w:line="240" w:lineRule="auto"/>
        <w:ind w:left="142"/>
        <w:textAlignment w:val="baseline"/>
        <w:rPr>
          <w:rFonts w:ascii="Arial" w:hAnsi="Arial" w:cs="Arial"/>
          <w:sz w:val="24"/>
          <w:szCs w:val="24"/>
          <w:lang w:val="pl-PL" w:eastAsia="pl-PL"/>
        </w:rPr>
      </w:pPr>
    </w:p>
    <w:p w:rsidR="00315354" w:rsidRPr="001E4C76" w:rsidRDefault="00570BA4">
      <w:pPr>
        <w:pStyle w:val="Akapitzlist"/>
        <w:numPr>
          <w:ilvl w:val="0"/>
          <w:numId w:val="18"/>
        </w:numPr>
        <w:spacing w:after="0" w:line="240" w:lineRule="auto"/>
        <w:ind w:left="142" w:hanging="284"/>
        <w:textAlignment w:val="baseline"/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</w:pPr>
      <w:r w:rsidRPr="001E4C76"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  <w:t xml:space="preserve">Przełączniki - 2 sztuki </w:t>
      </w:r>
      <w:r w:rsidR="00315354" w:rsidRPr="001E4C76"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  <w:t>:</w:t>
      </w:r>
    </w:p>
    <w:p w:rsidR="0003382E" w:rsidRPr="001E4C76" w:rsidRDefault="0003382E" w:rsidP="0003382E">
      <w:pPr>
        <w:pStyle w:val="Akapitzlist"/>
        <w:spacing w:after="0" w:line="240" w:lineRule="auto"/>
        <w:ind w:left="142"/>
        <w:textAlignment w:val="baseline"/>
        <w:rPr>
          <w:rFonts w:ascii="Arial" w:hAnsi="Arial" w:cs="Arial"/>
          <w:b/>
          <w:bCs/>
          <w:lang w:val="pl-PL" w:eastAsia="pl-PL"/>
        </w:rPr>
      </w:pPr>
    </w:p>
    <w:tbl>
      <w:tblPr>
        <w:tblStyle w:val="Tabela-Siatka"/>
        <w:tblW w:w="10598" w:type="dxa"/>
        <w:tblLayout w:type="fixed"/>
        <w:tblLook w:val="04A0"/>
      </w:tblPr>
      <w:tblGrid>
        <w:gridCol w:w="1410"/>
        <w:gridCol w:w="1535"/>
        <w:gridCol w:w="3837"/>
        <w:gridCol w:w="3816"/>
      </w:tblGrid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Opis elementów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Wymagania minimalne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47428" w:rsidRPr="001E4C76" w:rsidRDefault="00DD0C28" w:rsidP="00A752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Proponowane rozwiązanie</w:t>
            </w: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Obudowa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Wysokość obudowy max. 1U (wraz z zestawem do montażu w szafie RACK 19”). Zestaw do montażu w szafie Rack dołączony do switcha. Obudowa half-wide – możliwość instalacji dwóch sztuk switcha obok siebie zajmując wysokość maksymalnie 1U. 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Fizyczne porty komunikacji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min. 18 portów SFP28 25GbE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min. 4 porty QSFP28 100GbE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Wydajność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Przepustowość - min. 1.7Tb/s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pakiety na sekundę - min. 1.26Bpps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opóźnienie - max. 300ns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Parametry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pamięć systemowa - min 8GB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pamięć SSD - min. 16GB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min. jeden port seryjny - RJ45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min. Jeden port mini-USB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ED28FF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247428" w:rsidRPr="001E4C76">
              <w:rPr>
                <w:rFonts w:ascii="Arial" w:hAnsi="Arial" w:cs="Arial"/>
                <w:b/>
                <w:sz w:val="18"/>
                <w:szCs w:val="18"/>
              </w:rPr>
              <w:t>przęt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Każdy switch musi być wyposażony w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- 12 wkładek 25gb SFP28 SR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- 2 wkładki 10gb SFP+ SR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- 4 wkładki 1gb SFP LX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- 1 kabel DAC Passive 100Gb QSFP28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zestaw do montażu w szafie RACK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- 2 kable Ethernet CAT5e o długości 1.5m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- 2 kable zasilające C13 – C14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- 2 dupleksowe, wielomodowe patchcordy światłowodowe OM3 o długości 10m zakończone z dwóch stron złączami LC-UPC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- 12 dupleksowych, wielomodowych patchcordów światłowodowych OM3 o długości 5m zakończone z dwóch stron złączami LC-UPC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- 3 dupleksowe, wielomodowe patchcordów OM3 o długości 2m zakończonych z jednej strony złączami SC-UPC a drugiej LC-UPC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6304F2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Zasilacze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Dwa redundantne zasilacze AC 460W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6304F2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Środowisko pracy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0-40 stopni Celsjusza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6304F2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Chłodzenie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Przepływ powietrze od tyłu do przodu switcha - wpływ od strony zasilaczy, wydmuch od strony portów. 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6304F2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Funkcjonalności</w:t>
            </w:r>
          </w:p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warstwy II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Multi Chassis LAG (MLAG)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IGMP V2/V3, Snooping, Querier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VLAN 802.1Q (4K)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Q-In-Q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- 802.1W Rapid Spanning Tree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BPDU Filter, Root Guard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Loop Guard, BPDU Guard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- 802.1s Multiple STP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PVRST+ (Rapid Per VLAN STP+)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- 802.3ad Link Aggregation (LAG) &amp; LACP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Port Isolation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LLDP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Store &amp; Forward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HLL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Jumbo Frames (9216 BYTES)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6304F2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Funkcjonalności</w:t>
            </w:r>
          </w:p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warstwy III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- 64 VRFs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IPv4 &amp; IPv6 Routing inc Route maps: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BGP4, OSPFv2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PIM-SM &amp; PIM-SSM (inc PIM-SM over MLAG)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lastRenderedPageBreak/>
              <w:t>- BFD (BGP, OSPF, static routes)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VRRP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DHCPv4/v6 Relay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Router Port, int Vlan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ECMP, 64-way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IGMPv2/v3 Snooping Querier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lastRenderedPageBreak/>
              <w:t>1</w:t>
            </w:r>
            <w:r w:rsidR="006304F2" w:rsidRPr="001E4C76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Mechanizmy automatyzacji i zarządzania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wdrażanie ZTP (Zero Touch Provisioning)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Ansible, SALT Stack, Puppet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FTP \ TFTP \ SCP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AAA , RADIUS \ TACACS+ \ LDAP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JSON &amp; CLI , Enhanced Web UI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SNMP v1,2,3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zarządzanie In-band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DHCP, SSHv2, Telnet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SYSLOG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- możliwość przechowywania w pamięci dwóch różnych obrazów oprogramowania 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wsparcie dla systemu ONIE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6304F2" w:rsidRPr="001E4C76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Funkcje QoS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- 802.3X Flow Control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WRED, Fast ECN &amp; PFC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- 802.1Qbb Priority Flow Control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- 802.1Qaz ETS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DCBX - App TLV support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- 802.1AB 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6304F2" w:rsidRPr="001E4C76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Wirtualizacja sieci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VXLAN EVPN - L2 stretch use case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VXLAN Hardware VTEP - L2 GW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Możliwość integracji  VMware NSX &amp; OpenStack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6304F2" w:rsidRPr="001E4C76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Dodatkowe funkcjonalności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Wsparcie dla Software Defined Network (SDN):</w:t>
            </w:r>
          </w:p>
          <w:p w:rsidR="00247428" w:rsidRPr="001E4C76" w:rsidRDefault="00247428">
            <w:pPr>
              <w:numPr>
                <w:ilvl w:val="0"/>
                <w:numId w:val="17"/>
              </w:numPr>
              <w:ind w:left="0" w:hanging="175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OpenFlow 1.3: </w:t>
            </w:r>
          </w:p>
          <w:p w:rsidR="00247428" w:rsidRPr="001E4C76" w:rsidRDefault="00247428">
            <w:pPr>
              <w:numPr>
                <w:ilvl w:val="1"/>
                <w:numId w:val="17"/>
              </w:numPr>
              <w:ind w:left="0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Hybrid </w:t>
            </w:r>
          </w:p>
          <w:p w:rsidR="00247428" w:rsidRPr="001E4C76" w:rsidRDefault="00247428">
            <w:pPr>
              <w:numPr>
                <w:ilvl w:val="1"/>
                <w:numId w:val="17"/>
              </w:numPr>
              <w:ind w:left="0" w:hanging="284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Wspierane kontrolery: ODL, ONOS, FloodLight, RYU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6304F2" w:rsidRPr="001E4C76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Monitoring i telemetria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sFlow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Mirroring portów (SPAN &amp; RSPAN)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Enhanced Link oraz Monitoring Phy</w:t>
            </w:r>
          </w:p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Monitor degradacji BER (Bit Error Rate)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6304F2" w:rsidRPr="001E4C76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Gwarancja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36 miesięcy gwarancji on-site z czasem naprawy następnego dnia roboczego. Możliwość wykupienia dodatkowego wsparcia z gwarantowanym czasem naprawy w ciągu 6 godzin.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7428" w:rsidRPr="001E4C76" w:rsidTr="00523EC9"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6304F2" w:rsidRPr="001E4C76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28" w:rsidRPr="001E4C76" w:rsidRDefault="00247428" w:rsidP="00A752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Certyfikaty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Certyfikat CE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28" w:rsidRPr="001E4C76" w:rsidRDefault="00247428" w:rsidP="00A752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15354" w:rsidRPr="001E4C76" w:rsidRDefault="00315354" w:rsidP="0003382E">
      <w:pPr>
        <w:spacing w:after="0" w:line="240" w:lineRule="auto"/>
        <w:textAlignment w:val="baseline"/>
        <w:rPr>
          <w:rFonts w:ascii="Arial" w:hAnsi="Arial" w:cs="Arial"/>
          <w:b/>
          <w:bCs/>
          <w:lang w:eastAsia="pl-PL"/>
        </w:rPr>
      </w:pPr>
    </w:p>
    <w:p w:rsidR="00306D1A" w:rsidRPr="001E4C76" w:rsidRDefault="00306D1A" w:rsidP="0003382E">
      <w:pPr>
        <w:spacing w:after="0" w:line="240" w:lineRule="auto"/>
        <w:textAlignment w:val="baseline"/>
        <w:rPr>
          <w:rFonts w:ascii="Arial" w:hAnsi="Arial" w:cs="Arial"/>
          <w:b/>
          <w:bCs/>
          <w:lang w:eastAsia="pl-PL"/>
        </w:rPr>
      </w:pPr>
    </w:p>
    <w:p w:rsidR="00315354" w:rsidRPr="001E4C76" w:rsidRDefault="00315354">
      <w:pPr>
        <w:pStyle w:val="Akapitzlist"/>
        <w:numPr>
          <w:ilvl w:val="0"/>
          <w:numId w:val="18"/>
        </w:numPr>
        <w:spacing w:after="0" w:line="240" w:lineRule="auto"/>
        <w:ind w:left="142" w:hanging="284"/>
        <w:textAlignment w:val="baseline"/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</w:pPr>
      <w:r w:rsidRPr="001E4C76">
        <w:rPr>
          <w:rFonts w:ascii="Arial" w:hAnsi="Arial" w:cs="Arial"/>
          <w:b/>
          <w:bCs/>
          <w:sz w:val="24"/>
          <w:szCs w:val="24"/>
          <w:u w:val="single"/>
          <w:lang w:val="pl-PL" w:eastAsia="pl-PL"/>
        </w:rPr>
        <w:t>Veeam Backup Essentials Enterprise Plus z możliwością backupu do 25 VM wraz ze wsparciem technicznym na 36 miesięcy lub rozwiązanie równoważne; </w:t>
      </w:r>
      <w:r w:rsidRPr="001E4C76">
        <w:rPr>
          <w:rFonts w:ascii="Arial" w:hAnsi="Arial" w:cs="Arial"/>
          <w:sz w:val="24"/>
          <w:szCs w:val="24"/>
          <w:u w:val="single"/>
          <w:lang w:val="pl-PL" w:eastAsia="pl-PL"/>
        </w:rPr>
        <w:t> </w:t>
      </w:r>
    </w:p>
    <w:p w:rsidR="00306D1A" w:rsidRPr="001E4C76" w:rsidRDefault="00306D1A" w:rsidP="00315354">
      <w:pPr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pl-PL"/>
        </w:rPr>
      </w:pPr>
    </w:p>
    <w:p w:rsidR="000302C7" w:rsidRPr="001E4C76" w:rsidRDefault="000302C7" w:rsidP="00315354">
      <w:pPr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6536"/>
        <w:gridCol w:w="3536"/>
      </w:tblGrid>
      <w:tr w:rsidR="004705D8" w:rsidRPr="001E4C76" w:rsidTr="003341F2">
        <w:tc>
          <w:tcPr>
            <w:tcW w:w="534" w:type="dxa"/>
            <w:shd w:val="clear" w:color="auto" w:fill="E7E6E6" w:themeFill="background2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6536" w:type="dxa"/>
            <w:shd w:val="clear" w:color="auto" w:fill="E7E6E6" w:themeFill="background2"/>
            <w:vAlign w:val="center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Wymagania minimalne</w:t>
            </w:r>
          </w:p>
        </w:tc>
        <w:tc>
          <w:tcPr>
            <w:tcW w:w="3536" w:type="dxa"/>
            <w:shd w:val="clear" w:color="auto" w:fill="E7E6E6" w:themeFill="background2"/>
            <w:vAlign w:val="center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Proponowane rozwiązanie</w:t>
            </w: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współpracować z infrastrukturą VMware w wersji, 6.0, 6.5, 6.7, 7.0 oraz Microsoft Hyper-V 2012, 2012 R2, 2016 oraz 2019. Wszystkie funkcjonalności w specyfikacji muszą być dostępne na wszystkich wspieranych platformach wirtualizacyjnych, chyba, że wyszczególniono inaczej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współpracować z hostami zarządzanymi przez VMware vCenter oraz pojedyńczymi hostami.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współpracować z hostami zarządzanymi przez System Center Virtual Machine Manger, klastrami hostów oraz pojedynczymi hostami.  </w:t>
            </w:r>
          </w:p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zapewniać tworzenie kopii zapasowych wszystkich systemów operacyjnych maszyn wirtualnych wspieranych przez vSphere i Hyper-V Całkowite koszty posiadania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być niezależne sprzętowo i umożliwiać wykorzystanie dowolnej platformy serwerowej i dyskowej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 xml:space="preserve">Oprogramowanie musi tworzyć “samowystarczalne” archiwa do odzyskania </w:t>
            </w: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lastRenderedPageBreak/>
              <w:t>których nie wymagana jest osobna baza danych z metadanymi deduplikowanych bloków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lastRenderedPageBreak/>
              <w:t>6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mechanizmy deduplikacji i kompresji w celu zmniejszenia wielkości archiwów. Włączenie tych mechanizmów nie może skutkować utratą jakichkolwiek funkcjonalności wymienionych w tej specyfikacji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mechanizmy deduplikacji i kompresji w celu zmniejszenia wielkości archiwów. Włączenie tych mechanizmów nie może skutkować utratą jakichkolwiek funkcjonalności wymienionych w tej specyfikacji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zapewniać warstwę abstrakcji nad poszczególnymi urządzeniami pamięci masowej, pozwalając utworzyć jedną wirtualną pulę pamięci na kopie zapasowe. Wymagane jest wsparcie dla co najmniej trzech pamięci masowych w takiej puli.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pozwalać na rozszerzenie lokalnej przestrzeni backupowej poprzez integrację z Microsoft Azure Blob, Amazon S3 oraz z innymi kompatybilnymi z S3 macierzami obiektowymi. Proces migracji danych powinien być zautomatyzowany. Jedynie unikalne bloki mogą być przesyłane w celu oszczędności pasma oraz przestrzeni na przechowywane dane. Funkcjonalność ta nie może mieć wpływu na możliwości odtwarzania danych.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nie może przechowywać danych o deduplikacji w centralnej bazie. Utrata bazy danych używanej przez oprogramowanie nie może prowadzić do utraty możliwości odtworzenia backupu. Metadane deduplikacji muszą być przechowywane w plikach backupu.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nie może instalować żadnych stałych agentów wymagających wdrożenia czy upgradowania wewnątrz maszyny wirtualnej dla jakichkolwiek funkcjonalności backupu lub odtwarzania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zapewniać backup jednoprzebiegowy - nawet w przypadku wymagania granularnego odtworzenia </w:t>
            </w:r>
          </w:p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zapewniać mechanizmy informowania o wykonaniu/błędzie zadania poprzez email lub SNMP. W środowisku VMware musi mieć możliwość aktualizacji pola „notatki” na wirtualnej maszynie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możliwość uruchamiania dowolnych skryptów przed i po zadaniu backupowym lub przed i po wykonaniu zadania snapshota. •Oprogramowanie musi oferować portal samoobłsugowy, umożliwiający odtwarzanie użytkownikom wirtualnych maszyn, obiektów MS Exchange i baz danych MS SQL oraz Oracle (w tym odtwarzanie point-in-time)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wbudowane mechanizmy backupu konfiguracji w celu prostego odtworzenia systemu po całkowitej reinstalacji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wbudowane mechanizmy szyfrowania zarówno plików z backupami jak i transmisji sieciowej. Włączenie szyfrowania nie może skutkować utratą jakiejkolwiek funkcjonalności wymienionej w tej specyfikacji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wbudowane mechanizmy szyfrowania zarówno plików z backupami jak i transmisji sieciowej. Włączenie szyfrowania nie może skutkować utratą jakiejkolwiek funkcjonalności wymienionej w tej specyfikacji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oferować zarządzanie kluczami w przypadku utraty podstawowego klucza Oprogramowanie musi wspierać backup maszyn wirtualnych używających współdzielonych dysków VHDX na Hyper-V (shared VHDX)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posiadać architekturę klient/serwer z możliwością instalacji wielu instancji konsoli administracyjnych.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wykorzystywać mechanizmy Change Block Tracking na wszystkich wspieranych platformach wirtualizacyjnych. Mechanizmy muszą być certyfikowane przez dostawcę platformy wirtualizacyjnej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oferować możliwość sterowania obciążeniem storage'u produkcyjnego tak aby nie przekraczane były skonfigurowane przez administratora backupu poziomy latencji. Funkcjonalność ta musi być dostępna na wszystkich wspieranych platformach wirtualizacyjnych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automatycznie wykrywać i usuwać snapshoty-sieroty (orphaned snapshots), które mogą zakłócić poprawne wykonanie backupu. Proces ten nie może wymagać interakcji administratora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lastRenderedPageBreak/>
              <w:t>22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wspierać kopiowanie backupów na taśmy wraz z pełnym śledzeniem wirtualnych maszyn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możliwość wydzielenia osobnej roli typu tape server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możliwość kopiowania backupów do lokalizacji zdalnej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możliwość tworzenia retencji GFS (GrandfatherFather-Son)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umieć korzystać z protokołu DDBOOST w przypadku, gdy repozytorium backupów jest umiejscowione na Dell EMC DataDomain. Funkcjonalność powinna wspierać łącze sieciowe lub FC.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wspierać BlockClone API w przypadku użycia Windows Server 2016 lub 2019 z systemem pliku ReFS jako repozytorium backupu.  </w:t>
            </w:r>
          </w:p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możliwość replikacji włączonych wirtualnych maszyn bezpośrednio z infrastruktury VMware vSphere, pomiędzy hostami ESXi, włączając asynchroniczną replikacją ciągłą. Dodatkowo oprogramowanie musi mieć możliwość użycia plików kopii zapasowych jako źródła replikacji.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umożliwiać przechowywanie punktów przywracania dla replik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umożliwiać wykorzystanie istniejących w infrastrukturze wirtualnych maszyn jako źródła do dalszej replikacji (replica seeding)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posiadać takie same funkcjonalności replikacji dla Hyper-V Oprogramowanie musi wykorzystywać wszystkie oferowane przez hypervisor tryby transportu (sieć, hot-add, LAN Free-SAN)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dawać możliwość tworzenia backupów ad-hoc z konsoli jak i z klienta webowego vSphere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33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przetwarzać wiele wirtualnych dysków jednocześnie (parallel processing)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umożliwiać uruchomienie wielu maszyn wirtualnych bezpośrednio ze zdeduplikowanego i skompresowanego pliku backupu, z dowolnego punktu przywracania, bez potrzeby kopiowania jej na storage produkcyjny. Funkcjonalność musi być oferowana niezależnie od rodzaju storage’u użytego do przechowywania kopii zapasowych. Dla srodowiska vSphere powinien być wykorzystany wbudowany w oprogramowanie serwer NFS. Dla Hyper-V powinna być zapewniona taka sama funkcjonalność realizowana wewnętrznymi mechanizmami oprogramowania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pozwalać na migrację on-line tak uruchomionych maszyn na storage produkcyjny. Migracja powinna odbywać się mechanizmami wbudowanymi w hypervisor. Jeżeli licencja na hypervisor nie posiada takich funkcjonalności - oprogramowanie musi realizować taką migrację swoimi mechanizmami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36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umożliwiać pełne odtworzenie wirtualnej maszyny, plików konfiguracji i dysków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37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umożliwiać pełne odtworzenie wirtualnej maszyny bezpośrednio do Microsoft Azure, Microsoft Azure Stack oraz Amazon EC2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38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umożliwić odtworzenie plików na maszynę operatora lub na serwer produkcyjny bez potrzeby użycia agenta instalowanego wewnątrz wirtualnej maszyny. Funkcjonalność ta nie powinna być ograniczona wielkością i liczbą przywracanych plików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39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możliwość odtworzenia plików bezpośrednio do maszyny wirtualnej poprzez sieć, przy pomocy VIX API dla platformy VMware i PowerShell Direct dla platformy Hyper-V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wspierać odtwarzanie plików z następujących systemów plików: o Linux - ext2, ext3, ext4, ReiserFS, JFS, XFS, Btrfs o Mac - HFS, HFS+ o Windows - NTFS, FAT, FAT32, ReFS Oprogramowanie musi wspierać przywracanie plików z partycji Linux LVM oraz Windows Storage Spaces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41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umożliwiać szybkie granularne odtwarzanie obiektów aplikacji bez użycia jakiegokolwiek agenta zainstalowanego wewnątrz maszyny wirtualnej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42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wspierać granularne odtwarzanie dowolnych obiektów i dowolnych atrybutów Active Directory włączając hasło, obiekty Group Policy, partycja konfiguracji AD, rekordy DNS zintegrowane z AD, Microsoft System Objects, certyfikaty CA oraz elementy AD Sites.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43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wspierać granularne odtwarzanie Microsoft Exchange 2010 i nowszych (dowolny obiekt w tym obiekty w folderze "Permanently Deleted Objects"),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44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 xml:space="preserve">Oprogramowanie musi wspierać granularne odtwarzanie Microsoft SQL 2005 i nowsze włączając bazy danych z opcją odtwarzania point-in-time, tabele, </w:t>
            </w: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lastRenderedPageBreak/>
              <w:t>schemat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lastRenderedPageBreak/>
              <w:t>45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wspierać granularne odtwarzanie Microsoft Sharepoint 2010 i nowsze. Opcja odtworzenia elementów, witryn, uprawnień.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46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wspierać granularne odtwarzanie baz danych Oracle z opcją odtwarzanie point-in-time wraz z włączonym Oracle DataGuard. Funkcjonalność ta musi być dostępna dla baz uruchomionych w środowiskach Windows oraz Linux.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47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Funkcjonalność ta nie może wymagać pełnego odtworzenia wirtualnej maszyny ani jej uruchomienia.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48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indeksować pliki Windows i Linux w celu szybkiego wyszukiwania plików w plikach backupowych.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49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używać mechanizmów VSS wbudowanych w system operacyjny Microsoft Windows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wspierać także specyficzne metody odtwarzania w tym "reverse CBT" oraz odtwarzanie z wykorzystaniem sieci SAN Ograniczenie ryzyka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51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dawać możliwość stworzenia laboratorium (izolowane środowisko) dla vSphere i Hyper-V używając wirtualnych maszyn uruchamianych bezpośrednio z plików backupu.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52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umożliwiać weryfikację odtwarzalności wielu wirtualnych maszyn jednocześnie z dowolnego backupu według własnego harmonogramu w izolowanym środowisku. Testy powinny uwzględniać możliwość uruchomienia dowolnego skryptu testującego również aplikację uruchomioną na wirtualnej maszynie. Testy muszą być przeprowadzone bez interakcji z administratorem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53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mieć podobne mechanizmy dla replik w środowisku vSphere   Oprogramowanie musi umożliwiać integrację z oprogramowaniem antywirusowym w celu wykonania skanu zawartości pliku backupowego przed odtworzeniem jakichkolwiek danych. Integracja musi być zapewniona minimalnie dla Windows Defender, Symantec Protection Engine oraz ESET NOD32.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4705D8" w:rsidRPr="001E4C76" w:rsidTr="004705D8">
        <w:tc>
          <w:tcPr>
            <w:tcW w:w="534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54</w:t>
            </w:r>
          </w:p>
        </w:tc>
        <w:tc>
          <w:tcPr>
            <w:tcW w:w="6536" w:type="dxa"/>
          </w:tcPr>
          <w:p w:rsidR="004705D8" w:rsidRPr="001E4C76" w:rsidRDefault="004705D8" w:rsidP="004705D8">
            <w:pPr>
              <w:jc w:val="both"/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eastAsia="pl-PL"/>
              </w:rPr>
              <w:t>Oprogramowanie musi umożliwiać dwuetapowe, automatyczne, odtwarzanie maszyn wirtualnych z możliwością wstrzyknięcia dowolnego skryptu przed odtworzeniem danych do środowiska produkcyjnego.  </w:t>
            </w:r>
          </w:p>
        </w:tc>
        <w:tc>
          <w:tcPr>
            <w:tcW w:w="3536" w:type="dxa"/>
          </w:tcPr>
          <w:p w:rsidR="004705D8" w:rsidRPr="001E4C76" w:rsidRDefault="004705D8" w:rsidP="004705D8">
            <w:pPr>
              <w:textAlignment w:val="baseline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</w:tbl>
    <w:p w:rsidR="00315354" w:rsidRPr="001E4C76" w:rsidRDefault="00315354" w:rsidP="00315354">
      <w:pPr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pl-PL"/>
        </w:rPr>
      </w:pPr>
    </w:p>
    <w:p w:rsidR="00315354" w:rsidRPr="001E4C76" w:rsidRDefault="00315354" w:rsidP="000302C7">
      <w:pPr>
        <w:pStyle w:val="Akapitzlist"/>
        <w:spacing w:after="0" w:line="240" w:lineRule="auto"/>
        <w:ind w:left="284"/>
        <w:jc w:val="both"/>
        <w:textAlignment w:val="baseline"/>
        <w:rPr>
          <w:rFonts w:ascii="Arial" w:hAnsi="Arial" w:cs="Arial"/>
          <w:sz w:val="18"/>
          <w:szCs w:val="18"/>
          <w:lang w:val="pl-PL" w:eastAsia="pl-PL"/>
        </w:rPr>
      </w:pPr>
    </w:p>
    <w:p w:rsidR="00315354" w:rsidRPr="001E4C76" w:rsidRDefault="00315354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textAlignment w:val="baseline"/>
        <w:rPr>
          <w:rFonts w:ascii="Arial" w:hAnsi="Arial" w:cs="Arial"/>
          <w:sz w:val="18"/>
          <w:szCs w:val="18"/>
          <w:lang w:val="pl-PL" w:eastAsia="pl-PL"/>
        </w:rPr>
      </w:pPr>
      <w:r w:rsidRPr="001E4C76">
        <w:rPr>
          <w:rFonts w:ascii="Arial" w:hAnsi="Arial" w:cs="Arial"/>
          <w:sz w:val="18"/>
          <w:szCs w:val="18"/>
          <w:lang w:val="pl-PL" w:eastAsia="pl-PL"/>
        </w:rPr>
        <w:t>Oprogramowanie musi umożliwiać dwuetapowe, automatyczne, odtwarzanie maszyn wirtualnych z możliwością wstrzyknięcia dowolnego skryptu przed odtworzeniem danych do środowiska produkcyjnego.  </w:t>
      </w:r>
    </w:p>
    <w:p w:rsidR="00315354" w:rsidRPr="001E4C76" w:rsidRDefault="00315354" w:rsidP="00315354">
      <w:pPr>
        <w:spacing w:after="0" w:line="240" w:lineRule="auto"/>
        <w:textAlignment w:val="baseline"/>
        <w:rPr>
          <w:rFonts w:ascii="Arial" w:hAnsi="Arial" w:cs="Arial"/>
          <w:sz w:val="18"/>
          <w:szCs w:val="18"/>
          <w:lang w:eastAsia="pl-PL"/>
        </w:rPr>
      </w:pPr>
      <w:r w:rsidRPr="001E4C76">
        <w:rPr>
          <w:rFonts w:ascii="Arial" w:hAnsi="Arial" w:cs="Arial"/>
          <w:lang w:eastAsia="pl-PL"/>
        </w:rPr>
        <w:t> </w:t>
      </w:r>
    </w:p>
    <w:p w:rsidR="0003382E" w:rsidRPr="001E4C76" w:rsidRDefault="00315354" w:rsidP="00306D1A">
      <w:pPr>
        <w:jc w:val="both"/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Dla oprogramowania backupu wymagane jest dostarczenie niezbędnego oprogramowania systemowego w postaci licencji Microsoft Windows Server Standard w najnowszej dostępnej wersji. Licencja musi objąć dostarczany wraz z postępowaniem serwer.</w:t>
      </w:r>
    </w:p>
    <w:p w:rsidR="00523EC9" w:rsidRPr="001E4C76" w:rsidRDefault="00523EC9" w:rsidP="00306D1A">
      <w:pPr>
        <w:jc w:val="both"/>
        <w:rPr>
          <w:rFonts w:ascii="Arial" w:hAnsi="Arial" w:cs="Arial"/>
          <w:sz w:val="18"/>
          <w:szCs w:val="18"/>
        </w:rPr>
      </w:pPr>
    </w:p>
    <w:p w:rsidR="00315354" w:rsidRPr="001E4C76" w:rsidRDefault="00315354">
      <w:pPr>
        <w:pStyle w:val="Akapitzlist"/>
        <w:numPr>
          <w:ilvl w:val="0"/>
          <w:numId w:val="18"/>
        </w:numPr>
        <w:spacing w:line="276" w:lineRule="auto"/>
        <w:ind w:left="284" w:hanging="284"/>
        <w:rPr>
          <w:rFonts w:ascii="Arial" w:eastAsiaTheme="majorEastAsia" w:hAnsi="Arial" w:cs="Arial"/>
          <w:b/>
          <w:color w:val="000000" w:themeColor="text1"/>
          <w:sz w:val="24"/>
          <w:szCs w:val="24"/>
          <w:lang w:val="pl-PL"/>
        </w:rPr>
      </w:pPr>
      <w:r w:rsidRPr="001E4C76">
        <w:rPr>
          <w:rFonts w:ascii="Arial" w:eastAsiaTheme="majorEastAsia" w:hAnsi="Arial" w:cs="Arial"/>
          <w:b/>
          <w:color w:val="000000" w:themeColor="text1"/>
          <w:sz w:val="24"/>
          <w:szCs w:val="24"/>
          <w:lang w:val="pl-PL"/>
        </w:rPr>
        <w:t>Zintegrowane urządzenie sieciowe typu UTM (2 sztuki)</w:t>
      </w:r>
    </w:p>
    <w:p w:rsidR="00315354" w:rsidRPr="001E4C76" w:rsidRDefault="00315354" w:rsidP="00306D1A">
      <w:pPr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Zintegrowany system bezpieczeństwa klasy UTM/NGFW wraz z subskrypcją zabezpieczeń i gwarancją, zgodną z opisem poniżej.</w:t>
      </w:r>
    </w:p>
    <w:tbl>
      <w:tblPr>
        <w:tblStyle w:val="Tabela-Siatka"/>
        <w:tblW w:w="10694" w:type="dxa"/>
        <w:tblLook w:val="04A0"/>
      </w:tblPr>
      <w:tblGrid>
        <w:gridCol w:w="5350"/>
        <w:gridCol w:w="5323"/>
        <w:gridCol w:w="21"/>
      </w:tblGrid>
      <w:tr w:rsidR="004D52A7" w:rsidRPr="001E4C76" w:rsidTr="00D00A6A">
        <w:trPr>
          <w:gridAfter w:val="1"/>
          <w:wAfter w:w="22" w:type="dxa"/>
          <w:trHeight w:val="380"/>
        </w:trPr>
        <w:tc>
          <w:tcPr>
            <w:tcW w:w="5494" w:type="dxa"/>
            <w:shd w:val="clear" w:color="auto" w:fill="D9D9D9" w:themeFill="background1" w:themeFillShade="D9"/>
          </w:tcPr>
          <w:p w:rsidR="004D52A7" w:rsidRPr="001E4C76" w:rsidRDefault="004D52A7" w:rsidP="00315354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Wymagania minimalne</w:t>
            </w:r>
          </w:p>
        </w:tc>
        <w:tc>
          <w:tcPr>
            <w:tcW w:w="5494" w:type="dxa"/>
            <w:shd w:val="clear" w:color="auto" w:fill="D9D9D9" w:themeFill="background1" w:themeFillShade="D9"/>
          </w:tcPr>
          <w:p w:rsidR="004D52A7" w:rsidRPr="001E4C76" w:rsidRDefault="004D52A7" w:rsidP="00315354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Proponowane rozwiązanie</w:t>
            </w:r>
          </w:p>
        </w:tc>
      </w:tr>
      <w:tr w:rsidR="00F45996" w:rsidRPr="001E4C76" w:rsidTr="00D00A6A">
        <w:trPr>
          <w:trHeight w:val="1095"/>
        </w:trPr>
        <w:tc>
          <w:tcPr>
            <w:tcW w:w="5494" w:type="dxa"/>
            <w:tcBorders>
              <w:bottom w:val="single" w:sz="4" w:space="0" w:color="auto"/>
            </w:tcBorders>
          </w:tcPr>
          <w:p w:rsidR="00F45996" w:rsidRPr="001E4C76" w:rsidRDefault="00F45996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ochrony sieci musi zostać dostarczony w postaci komercyjnej platformy sprzętowej z zabezpieczonym systemem operacyjnym, pracujący w klastrze wysokiej dostępności co najmniej Active-Passive, o specyfikacji opisanej poniżej</w:t>
            </w:r>
          </w:p>
        </w:tc>
        <w:tc>
          <w:tcPr>
            <w:tcW w:w="5494" w:type="dxa"/>
            <w:gridSpan w:val="2"/>
            <w:tcBorders>
              <w:bottom w:val="single" w:sz="4" w:space="0" w:color="auto"/>
            </w:tcBorders>
          </w:tcPr>
          <w:p w:rsidR="00F45996" w:rsidRPr="001E4C76" w:rsidRDefault="00F45996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615"/>
        </w:trPr>
        <w:tc>
          <w:tcPr>
            <w:tcW w:w="5494" w:type="dxa"/>
            <w:tcBorders>
              <w:bottom w:val="single" w:sz="4" w:space="0" w:color="auto"/>
            </w:tcBorders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Dostarczony system bezpieczeństwa musi zapewniać wszystkie wymienione poniżej funkcje bezpieczeństwa oraz funkcjonalności dodatkowe. </w:t>
            </w:r>
          </w:p>
        </w:tc>
        <w:tc>
          <w:tcPr>
            <w:tcW w:w="5494" w:type="dxa"/>
            <w:gridSpan w:val="2"/>
            <w:tcBorders>
              <w:bottom w:val="single" w:sz="4" w:space="0" w:color="auto"/>
            </w:tcBorders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885"/>
        </w:trPr>
        <w:tc>
          <w:tcPr>
            <w:tcW w:w="5494" w:type="dxa"/>
            <w:tcBorders>
              <w:bottom w:val="single" w:sz="4" w:space="0" w:color="auto"/>
            </w:tcBorders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Elementy systemu przenoszące ruch użytkowników muszą dawać możliwość pracy w jednym z dwóch trybów: Router/NAT lub transparent.</w:t>
            </w:r>
          </w:p>
        </w:tc>
        <w:tc>
          <w:tcPr>
            <w:tcW w:w="5494" w:type="dxa"/>
            <w:gridSpan w:val="2"/>
            <w:tcBorders>
              <w:bottom w:val="single" w:sz="4" w:space="0" w:color="auto"/>
            </w:tcBorders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5996" w:rsidRPr="001E4C76" w:rsidTr="00D00A6A">
        <w:trPr>
          <w:trHeight w:val="585"/>
        </w:trPr>
        <w:tc>
          <w:tcPr>
            <w:tcW w:w="5494" w:type="dxa"/>
          </w:tcPr>
          <w:p w:rsidR="00F45996" w:rsidRPr="001E4C76" w:rsidRDefault="00F45996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Metalowa obudowa o wysokości max. 1U przeznaczona do montażu w szafie RACK 19’’</w:t>
            </w:r>
          </w:p>
        </w:tc>
        <w:tc>
          <w:tcPr>
            <w:tcW w:w="5494" w:type="dxa"/>
            <w:gridSpan w:val="2"/>
          </w:tcPr>
          <w:p w:rsidR="00F45996" w:rsidRPr="001E4C76" w:rsidRDefault="00F45996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352"/>
        </w:trPr>
        <w:tc>
          <w:tcPr>
            <w:tcW w:w="5494" w:type="dxa"/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Obsługa nielimitowanej ilości hostów w sieci chronionej.</w:t>
            </w:r>
          </w:p>
        </w:tc>
        <w:tc>
          <w:tcPr>
            <w:tcW w:w="5494" w:type="dxa"/>
            <w:gridSpan w:val="2"/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2085"/>
        </w:trPr>
        <w:tc>
          <w:tcPr>
            <w:tcW w:w="5494" w:type="dxa"/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lastRenderedPageBreak/>
              <w:t xml:space="preserve">Minimalna liczba i typ interfejsów fizycznych: </w:t>
            </w:r>
          </w:p>
          <w:p w:rsidR="006741E5" w:rsidRPr="001E4C76" w:rsidRDefault="006741E5" w:rsidP="00306D1A">
            <w:pPr>
              <w:spacing w:line="276" w:lineRule="auto"/>
              <w:ind w:left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•System realizujący funkcję Firewall musi dysponować minimum 8 interfejsami miedzianymi Ethernet 10/100/1000</w:t>
            </w:r>
          </w:p>
          <w:p w:rsidR="006741E5" w:rsidRPr="001E4C76" w:rsidRDefault="006741E5" w:rsidP="00306D1A">
            <w:pPr>
              <w:spacing w:line="276" w:lineRule="auto"/>
              <w:ind w:left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•System realizujący funkcję Firewall musi dysponować minimum 2 interfejsami optycznymi 1GbE (SFP)</w:t>
            </w:r>
          </w:p>
          <w:p w:rsidR="006741E5" w:rsidRPr="001E4C76" w:rsidRDefault="006741E5" w:rsidP="00306D1A">
            <w:pPr>
              <w:spacing w:line="276" w:lineRule="auto"/>
              <w:ind w:left="361"/>
              <w:contextualSpacing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bCs/>
                <w:sz w:val="18"/>
                <w:szCs w:val="18"/>
              </w:rPr>
              <w:t>•System realizujący funkcję Firewall musi być wyposażony w 2 interfejsy optyczne 10GbE (SFP+)</w:t>
            </w:r>
          </w:p>
          <w:p w:rsidR="006741E5" w:rsidRPr="001E4C76" w:rsidRDefault="006741E5" w:rsidP="00306D1A">
            <w:pPr>
              <w:spacing w:line="276" w:lineRule="auto"/>
              <w:ind w:left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•Możliwość tworzenia minimum 128 interfejsów wirtualnych definiowanych jako VLANy w oparciu o standard 802.1Q.</w:t>
            </w:r>
          </w:p>
        </w:tc>
        <w:tc>
          <w:tcPr>
            <w:tcW w:w="5494" w:type="dxa"/>
            <w:gridSpan w:val="2"/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180"/>
        </w:trPr>
        <w:tc>
          <w:tcPr>
            <w:tcW w:w="5494" w:type="dxa"/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Minimalna liczba nowych połączeń na sekundę: 80 000</w:t>
            </w:r>
          </w:p>
        </w:tc>
        <w:tc>
          <w:tcPr>
            <w:tcW w:w="5494" w:type="dxa"/>
            <w:gridSpan w:val="2"/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285"/>
        </w:trPr>
        <w:tc>
          <w:tcPr>
            <w:tcW w:w="5494" w:type="dxa"/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Minimalna liczba jednoczesnych połączeń: 1 500 000</w:t>
            </w:r>
          </w:p>
        </w:tc>
        <w:tc>
          <w:tcPr>
            <w:tcW w:w="5494" w:type="dxa"/>
            <w:gridSpan w:val="2"/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195"/>
        </w:trPr>
        <w:tc>
          <w:tcPr>
            <w:tcW w:w="5494" w:type="dxa"/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Minimalna przepustowość Firewall: 30 Gbps</w:t>
            </w:r>
          </w:p>
        </w:tc>
        <w:tc>
          <w:tcPr>
            <w:tcW w:w="5494" w:type="dxa"/>
            <w:gridSpan w:val="2"/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165"/>
        </w:trPr>
        <w:tc>
          <w:tcPr>
            <w:tcW w:w="5494" w:type="dxa"/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Minimalna przepustowość IPS:15 Gbps</w:t>
            </w:r>
          </w:p>
        </w:tc>
        <w:tc>
          <w:tcPr>
            <w:tcW w:w="5494" w:type="dxa"/>
            <w:gridSpan w:val="2"/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161"/>
        </w:trPr>
        <w:tc>
          <w:tcPr>
            <w:tcW w:w="5494" w:type="dxa"/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Minimalna przepustowość Threat Protection: 2,9 Gbps</w:t>
            </w:r>
          </w:p>
        </w:tc>
        <w:tc>
          <w:tcPr>
            <w:tcW w:w="5494" w:type="dxa"/>
            <w:gridSpan w:val="2"/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300"/>
        </w:trPr>
        <w:tc>
          <w:tcPr>
            <w:tcW w:w="5494" w:type="dxa"/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Minimalna przepustowość IPSec VPN: 4,5 Gbps</w:t>
            </w:r>
          </w:p>
        </w:tc>
        <w:tc>
          <w:tcPr>
            <w:tcW w:w="5494" w:type="dxa"/>
            <w:gridSpan w:val="2"/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1E5" w:rsidRPr="001E4C76" w:rsidTr="00D00A6A">
        <w:trPr>
          <w:trHeight w:val="1500"/>
        </w:trPr>
        <w:tc>
          <w:tcPr>
            <w:tcW w:w="5494" w:type="dxa"/>
          </w:tcPr>
          <w:p w:rsidR="006741E5" w:rsidRPr="001E4C76" w:rsidRDefault="006741E5">
            <w:pPr>
              <w:numPr>
                <w:ilvl w:val="0"/>
                <w:numId w:val="3"/>
              </w:numPr>
              <w:spacing w:line="276" w:lineRule="auto"/>
              <w:ind w:left="361" w:hanging="361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realizujący funkcję Firewall musi być wyposażony w lokalny dysk o pojemności minimum 120 GB SSD do celów logowania i raportowania</w:t>
            </w:r>
          </w:p>
        </w:tc>
        <w:tc>
          <w:tcPr>
            <w:tcW w:w="5494" w:type="dxa"/>
            <w:gridSpan w:val="2"/>
          </w:tcPr>
          <w:p w:rsidR="006741E5" w:rsidRPr="001E4C76" w:rsidRDefault="006741E5" w:rsidP="00F45996">
            <w:pPr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15354" w:rsidRPr="001E4C76" w:rsidRDefault="00315354" w:rsidP="00315354">
      <w:pPr>
        <w:keepNext/>
        <w:keepLines/>
        <w:spacing w:before="40" w:after="0" w:line="276" w:lineRule="auto"/>
        <w:outlineLvl w:val="1"/>
        <w:rPr>
          <w:rFonts w:ascii="Arial" w:eastAsiaTheme="majorEastAsia" w:hAnsi="Arial" w:cs="Arial"/>
          <w:color w:val="2F5496" w:themeColor="accent1" w:themeShade="BF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10627" w:type="dxa"/>
        <w:jc w:val="center"/>
        <w:tblLayout w:type="fixed"/>
        <w:tblLook w:val="04A0"/>
      </w:tblPr>
      <w:tblGrid>
        <w:gridCol w:w="2122"/>
        <w:gridCol w:w="5528"/>
        <w:gridCol w:w="2963"/>
        <w:gridCol w:w="14"/>
      </w:tblGrid>
      <w:tr w:rsidR="00F37FD7" w:rsidRPr="001E4C76" w:rsidTr="008559DF">
        <w:trPr>
          <w:jc w:val="center"/>
        </w:trPr>
        <w:tc>
          <w:tcPr>
            <w:tcW w:w="10627" w:type="dxa"/>
            <w:gridSpan w:val="4"/>
            <w:shd w:val="clear" w:color="auto" w:fill="D9D9D9" w:themeFill="background1" w:themeFillShade="D9"/>
          </w:tcPr>
          <w:p w:rsidR="00F37FD7" w:rsidRPr="001E4C76" w:rsidRDefault="00F37FD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PODSTAWOWE FUNKCJE SYSTEMU OCHRONY</w:t>
            </w:r>
          </w:p>
        </w:tc>
      </w:tr>
      <w:tr w:rsidR="00491D66" w:rsidRPr="001E4C76" w:rsidTr="008559DF">
        <w:trPr>
          <w:gridAfter w:val="1"/>
          <w:wAfter w:w="14" w:type="dxa"/>
          <w:trHeight w:val="885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Zarządzanie i utrzymanie</w:t>
            </w: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być zarządzanie przez wbudowany webowy graficzny interfejs użytkownika (Web GUI), z poziomu portu konsolowego oraz za pośrednictwem bezpiecznego protokołu SSH.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28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Wbudowany webowy graficzny interfejs użytkownika musi oferować narzędzia diagnostyczne, co najmniej ping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732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Interfejs graficzny musi zapewniać narzędzia do przechwytywania pakietów, wyświetlania otwartych połączeń sieciowych.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1054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oferować możliwość definiowania profili administracyjnych określających dostęp do poszczególnych modułów konfiguracyjnych systemu na prawach: brak dostępu, dostęp tylko do odczytu lub pełen odczyt i zapis.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839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oferować możliwość zdefiniowania polityki bezpieczeństwa dla haseł administratorów  w zakresie minimalnej ilości znaków czy złożoności hasła.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8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posiadać mechanizm informowania o aktualizacjach oprogramowania systemowego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874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oferować możliwość zdefiniowania własnych obiektów typu sieć, usługa, host, harmonogram czasowy, użytkownik, grupa użytkowników.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1352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Rozwiązanie musi oferować samoobsługowy portal dla  użytkowników celem zmniejszenia liczby zadań wymagających udziału administratora.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326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System musi być wyposażony w mechanizm automatycznego 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59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powiadamiania za pośrednictwem protokołów SMTP lub SNMP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817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Rozwiązanie musi oferować wsparcie dla protokołów SNMP v1, v2 i v3 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139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Wymagane jest aby rozwiązanie oferowało wbudowany mechanizm do tworzenia kopii zapasowych konfiguracji z zapisem do chmury producenta lub własnego serwera. Rozwiązanie musi oferować mechanizm pozwalający na automatyczne tworzenie kopii zapasowych w odstępach czasowych: codziennie, tygodniowo oraz miesięcznie.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9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umożliwiać przechowywanie przynajmniej dwóch wersji oprogramowania systemowego (firmware)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08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Zapora sieciowa, konfiguracja sieciowa oraz routing</w:t>
            </w: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Wymagane jest aby zapora sieciowa działała w oparciu o mechanizm Stateful Deep Packet Inspection.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100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umożliwiać budowanie reguł zapory sieciowych w oparciu o takie obiekty jak elementy jak host, sieć, interfejs, harmonogram, port, protokół, użytkownik, grupa użytkowników, metoda uwierzytelnienia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807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umożliwiać budowanie reguł bezpieczeństwa dla użytkowników i grup użytkowników w oparciu o definiowane przez administratora harmonogramy czasowe.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608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pozwolić na definiowanie własnych polityk NAT wraz z IP masquerading.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619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zapewniać ochronę przed atakami DoS czy DDoS (flood protection).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4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zapewniać ochronę przed skanowaniem portów (portscan blocking).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52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zapewniać blokowanie ruchu na podstawie kraju pochodzenia (geolokalizacja IP).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29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zapewniać obsługę routingu statycznego.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46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zapewniać obsługę protokołów routingu dynamicznego (RIP, OSPF, BGP).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12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oferować możliwość łączenia interfejsów w warstwie L2 (bridge) wraz z obsługą RSTP oraz MSTP.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23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oferować funkcjonalność serwera DHCP lub DHCP Relay.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609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oferować wsparcie dla IEEE 802.1Q VLAN z niezależnymi pulami DHCP.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813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Rozwiązanie musi zapewniać rozkład ruchu pomiędzy wieloma interfejsami WAN, z automatyczną diagnostyką łączy oraz automatycznym przełączaniem ruchu w przypadku awarii łącza. 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94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umożliwiać rozkładanie ruchu do Internetu w oparciu o wagi poszczególnych bram ISP.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0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Wymagane jest by rozwiązanie zapewniało obsługę modemu USB LTE np. jako łącze zapasowe 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621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oferować możliwość agregowania linków fizycznych w oparciu o IEEE 802.3ad (LACP).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1033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Rozwiązanie musi dawać możliwość wykorzystania mechanizmu SD-WAN poprzez analizę stanu łącza w czasie rzeczywistym i dynamicznym wyborze najkorzystniejszego łącza. 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847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 zakresie SD-WAN urządzenie ma zapewniać obsługę mechanizmu SLA (monitorowanie opóźnienia, jitter, wskaźnika utraty pakietów).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73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dawać możliwość optymalizacji ruchu wychodzącego w dostępie do określonych usług.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39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Monitorowanie dostępności łącza musi być możliwe w oparciu o ICMP oraz TCP.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72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System musi dawać możliwość realizacji routingu statycznego w oparciu o polityki automatycznego wyboru łącza w trybie failover. 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120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Podstawowe kształtowanie pasma oraz limity ilości danych</w:t>
            </w: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6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zapewniać możliwość elastycznego kształtowania pasma (QoS) dla użytkownika, hosta lub połączenia.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8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6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mieć zaimplementowane mechanizmy optymalizujące ruch VoIP.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645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Autoryzacja użytkowników</w:t>
            </w: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7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być wyposażone w lokalną bazę użytkowników umożliwiającą wykreowanie nie mniej niż 500 kont.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39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7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zapewniać możliwość autentykacji w oparciu o Active Directory, RADIUS i LDAP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64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7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umożliwiać automatyczne uwierzytelnianie i identyfikowanie użytkowników w trybie Single Sign On (SSO) w środowiskach opartych o Active Directory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3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7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zapewniać możliwość uwierzytelniania klientów VPN w tym IPSec, SSL, PPTP.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6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7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oferować możliwość uwierzytelniania przez wbudowany Captive Portal.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8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7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posiadać wbudowany moduł zapewniający uwierzytelnianie na poziomie 2FA poprzez zastosowanie czasowych haseł jednorazowych (TOTP).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127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7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Metoda 2FA musi dawać możliwość wykorzystania haseł TOTP w ramach tuneli SSLVPN, IPSec, jak również logowania do portalu uwierzytelniania, webowego interfejsu administracyjnego i SSH. 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390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Samoobsługowy portal dla użytkowników</w:t>
            </w: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8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udostępniać plik instalacyjny klienta SSL VPN dla Windows (wraz z konfiguracją).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0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8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udostępniać plik z konfiguracją dla klienta OpenVPN dla Windows, Mac OS X, Linux, iOS, Android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37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8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umożliwiać zmianę hasła.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23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Podstawowe opcje VPN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zapewniać funkcjonalność koncentratora VPN w zakresie połączeń: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8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9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Site-to-site VPN: IPSec, 256-bit AES/3DES, autoryzacja z użyciem klucza RSA, PKI (X.509) lub współdzielonego klucza Pre-Shared Key (PSK)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39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9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Client-to-site VPN: IPSec, PPTP, SSL (klient dla Windows 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65"/>
          <w:jc w:val="center"/>
        </w:trPr>
        <w:tc>
          <w:tcPr>
            <w:tcW w:w="2122" w:type="dxa"/>
            <w:vMerge/>
            <w:tcBorders>
              <w:bottom w:val="single" w:sz="4" w:space="0" w:color="auto"/>
            </w:tcBorders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9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dostępny z poziomu samoobsługowego portalu użytkownika).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7FD7" w:rsidRPr="001E4C76" w:rsidTr="008559DF">
        <w:trPr>
          <w:jc w:val="center"/>
        </w:trPr>
        <w:tc>
          <w:tcPr>
            <w:tcW w:w="10627" w:type="dxa"/>
            <w:gridSpan w:val="4"/>
            <w:shd w:val="clear" w:color="auto" w:fill="D9D9D9" w:themeFill="background1" w:themeFillShade="D9"/>
            <w:vAlign w:val="center"/>
          </w:tcPr>
          <w:p w:rsidR="00F37FD7" w:rsidRPr="001E4C76" w:rsidRDefault="00F37FD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OCHRONA SIECI</w:t>
            </w:r>
          </w:p>
        </w:tc>
      </w:tr>
      <w:tr w:rsidR="00491D66" w:rsidRPr="001E4C76" w:rsidTr="008559DF">
        <w:trPr>
          <w:gridAfter w:val="1"/>
          <w:wAfter w:w="14" w:type="dxa"/>
          <w:trHeight w:val="390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IPS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0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Dodatkowy moduł ochrony klasy IPS z bazą minimum 1000 sygnatur.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0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0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zapewniać możliwość dodawania własnych sygnatur IPS.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37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0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Wymagane jest by system automatycznie aktualizował sygnatury zagrożeń.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37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0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oferować możliwość wyłączenia/włączenia poszczególnych kategorii/sygnatur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40"/>
          <w:jc w:val="center"/>
        </w:trPr>
        <w:tc>
          <w:tcPr>
            <w:tcW w:w="2122" w:type="dxa"/>
            <w:vMerge/>
            <w:tcBorders>
              <w:bottom w:val="single" w:sz="4" w:space="0" w:color="auto"/>
            </w:tcBorders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0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generować alerty w przypadku wykrycia ataku.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7FD7" w:rsidRPr="001E4C76" w:rsidTr="008559DF">
        <w:trPr>
          <w:jc w:val="center"/>
        </w:trPr>
        <w:tc>
          <w:tcPr>
            <w:tcW w:w="10627" w:type="dxa"/>
            <w:gridSpan w:val="4"/>
            <w:shd w:val="clear" w:color="auto" w:fill="D9D9D9" w:themeFill="background1" w:themeFillShade="D9"/>
            <w:vAlign w:val="center"/>
          </w:tcPr>
          <w:p w:rsidR="00F37FD7" w:rsidRPr="001E4C76" w:rsidRDefault="00F37FD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OCHRONA I KONTORLA WEB ORAZ APLIKACJI</w:t>
            </w:r>
          </w:p>
        </w:tc>
      </w:tr>
      <w:tr w:rsidR="00491D66" w:rsidRPr="001E4C76" w:rsidTr="008559DF">
        <w:trPr>
          <w:gridAfter w:val="1"/>
          <w:wAfter w:w="14" w:type="dxa"/>
          <w:trHeight w:val="135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Ochrona i kontrola Web</w:t>
            </w: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1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działać jako Transparent Web Proxy filtrując treści oraz szkodliwe oprogramowanie w obrębie protokołów HTTP i HTTPS.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5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1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oferujący inspekcję i ochronę przed malware dla protokołów HTTP, HTTPS oraz FTP.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3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1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Rozwiązanie musi zapewniać skanowanie AV plików w czasie rzeczywistym 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3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1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oferować funkcję inspekcji z obsługą protokołu TLS 1.3 oraz z tzw. walidacją certyfikatów.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146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1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filtrować pliki na podstawie MIME.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31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1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Rozwiązanie musi oferować możliwość filtrowania wyników 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16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1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wyszukiwania z użyciem SafeSearch.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3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1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zawierać przynajmniej 50 kategorii stron www i umożliwiać tworzenie własnych kategorii stron www.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5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1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zapewniać możliwość blokowanie i wysyłania treści poprzez HTTP i HTTPS.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117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1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wyświetlać komunikat o przyczynie zablokowania dostępu do strony www. Administrator musi mieć możliwość edytowania treści komunikatu i dodania logo Zamawiającego.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65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Ochrona i kontrola aplikacji</w:t>
            </w: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2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zapewniać automatyczną aktualizację sygnatur aplikacji.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2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2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Rozwiązanie musi umożliwiać wykrywanie i kontrolę mikroaplikacji (np. Gry portalu Facebook) 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52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:rsidR="00491D66" w:rsidRPr="001E4C76" w:rsidRDefault="00491D66">
            <w:pPr>
              <w:numPr>
                <w:ilvl w:val="0"/>
                <w:numId w:val="12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identyfikować aplikacje niezależnie od wykorzystywanego portu, protokołu, szyfrowania.</w:t>
            </w:r>
          </w:p>
        </w:tc>
        <w:tc>
          <w:tcPr>
            <w:tcW w:w="2963" w:type="dxa"/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855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Kształtowanie pasma dla Web i Aplikacji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3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Rozwiązanie musi oferować funkcjonalność pozwalającą na kształtowanie pasma dla aplikacji celem ograniczenia lub zagwarantowania odpowiedniego pasma w kierunku upload/download. 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36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3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zapewniać możliwość nadawania priorytetów dla określonego typu ruchu.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675"/>
          <w:jc w:val="center"/>
        </w:trPr>
        <w:tc>
          <w:tcPr>
            <w:tcW w:w="2122" w:type="dxa"/>
            <w:vMerge/>
            <w:tcBorders>
              <w:bottom w:val="single" w:sz="4" w:space="0" w:color="auto"/>
            </w:tcBorders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3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oferować możliwość gwarantowania pasma w trybie indywidualnym (per użytkownik) oraz współdzielonym.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7FD7" w:rsidRPr="001E4C76" w:rsidTr="008559DF">
        <w:trPr>
          <w:jc w:val="center"/>
        </w:trPr>
        <w:tc>
          <w:tcPr>
            <w:tcW w:w="10627" w:type="dxa"/>
            <w:gridSpan w:val="4"/>
            <w:shd w:val="clear" w:color="auto" w:fill="D9D9D9" w:themeFill="background1" w:themeFillShade="D9"/>
            <w:vAlign w:val="center"/>
          </w:tcPr>
          <w:p w:rsidR="00F37FD7" w:rsidRPr="001E4C76" w:rsidRDefault="00F37FD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OCHRONA ANTYWIRUSOWA</w:t>
            </w:r>
          </w:p>
        </w:tc>
      </w:tr>
      <w:tr w:rsidR="00491D66" w:rsidRPr="001E4C76" w:rsidTr="008559DF">
        <w:trPr>
          <w:gridAfter w:val="1"/>
          <w:wAfter w:w="14" w:type="dxa"/>
          <w:trHeight w:val="465"/>
          <w:jc w:val="center"/>
        </w:trPr>
        <w:tc>
          <w:tcPr>
            <w:tcW w:w="2122" w:type="dxa"/>
            <w:vMerge w:val="restart"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Ochrona i kontrola Email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Rozwiązanie musi oferować możliwość trybu pracy Transparent Email Proxy 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66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umożliwiać inspekcję komunikacji email realizowanej przy użyciu protokołów SMTP, SMTPS, POP3, POP3S.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2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zapewniać ochronę przed spamem i szkodliwym oprogramowaniem w trakcie transakcji SMTP.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20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zapewniać automatyczną aktualizację sygnatur zagrożeń.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37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zapewniać wykrywanie, blokowanie i skanowanie załączników.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0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współpracować z co najmniej dwoma bazami RBL.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435"/>
          <w:jc w:val="center"/>
        </w:trPr>
        <w:tc>
          <w:tcPr>
            <w:tcW w:w="2122" w:type="dxa"/>
            <w:vMerge/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umożliwiać tworzenie białych i czarnych list adresów email.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1D66" w:rsidRPr="001E4C76" w:rsidTr="008559DF">
        <w:trPr>
          <w:gridAfter w:val="1"/>
          <w:wAfter w:w="14" w:type="dxa"/>
          <w:trHeight w:val="780"/>
          <w:jc w:val="center"/>
        </w:trPr>
        <w:tc>
          <w:tcPr>
            <w:tcW w:w="2122" w:type="dxa"/>
            <w:vMerge/>
            <w:tcBorders>
              <w:bottom w:val="single" w:sz="4" w:space="0" w:color="auto"/>
            </w:tcBorders>
            <w:vAlign w:val="center"/>
          </w:tcPr>
          <w:p w:rsidR="00491D66" w:rsidRPr="001E4C76" w:rsidRDefault="00491D6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91D66" w:rsidRPr="001E4C76" w:rsidRDefault="00491D66">
            <w:pPr>
              <w:numPr>
                <w:ilvl w:val="0"/>
                <w:numId w:val="14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zapewniać wykrywanie spamu niezależnie od stosowanego języka.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91D66" w:rsidRPr="001E4C76" w:rsidRDefault="00491D66" w:rsidP="00197CD7">
            <w:pPr>
              <w:spacing w:line="276" w:lineRule="auto"/>
              <w:ind w:left="289"/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7FD7" w:rsidRPr="001E4C76" w:rsidTr="008559DF">
        <w:trPr>
          <w:jc w:val="center"/>
        </w:trPr>
        <w:tc>
          <w:tcPr>
            <w:tcW w:w="10627" w:type="dxa"/>
            <w:gridSpan w:val="4"/>
            <w:shd w:val="clear" w:color="auto" w:fill="D9D9D9" w:themeFill="background1" w:themeFillShade="D9"/>
            <w:vAlign w:val="center"/>
          </w:tcPr>
          <w:p w:rsidR="00F37FD7" w:rsidRPr="001E4C76" w:rsidRDefault="00F37FD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OCHRONA PRZED EXPLOITAMI I ZAGROŻENIAMI ZERO-DAY</w:t>
            </w:r>
          </w:p>
        </w:tc>
      </w:tr>
      <w:tr w:rsidR="004D52A7" w:rsidRPr="001E4C76" w:rsidTr="008559DF">
        <w:trPr>
          <w:gridAfter w:val="1"/>
          <w:wAfter w:w="14" w:type="dxa"/>
          <w:trHeight w:val="360"/>
          <w:jc w:val="center"/>
        </w:trPr>
        <w:tc>
          <w:tcPr>
            <w:tcW w:w="2122" w:type="dxa"/>
            <w:vMerge w:val="restart"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On-cloud Sandboxing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Rozwiązaniem musi dawać możliwość rozbudowy o dodatkowy moduł ochrony klasy on-cloud Sanbox o poniższej funkcjonalności: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525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numPr>
                <w:ilvl w:val="0"/>
                <w:numId w:val="1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umożliwiać dodatkową inspekcję plików wykonywalnych w tym .exe, .com, .dll.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180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numPr>
                <w:ilvl w:val="0"/>
                <w:numId w:val="1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umożliwiać dodatkową inspekcję plików dokumentów w tym .doc, .docx, .rtf.</w:t>
            </w:r>
          </w:p>
          <w:p w:rsidR="004D52A7" w:rsidRPr="001E4C76" w:rsidRDefault="004D52A7">
            <w:pPr>
              <w:numPr>
                <w:ilvl w:val="0"/>
                <w:numId w:val="1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umożliwiać dodatkową inspekcję plików .pdf.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757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numPr>
                <w:ilvl w:val="0"/>
                <w:numId w:val="1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umożliwiać dodatkową inspekcję plików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150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numPr>
                <w:ilvl w:val="0"/>
                <w:numId w:val="1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archiwów w tym zip, arj, lha, rar, cab 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1080"/>
          <w:jc w:val="center"/>
        </w:trPr>
        <w:tc>
          <w:tcPr>
            <w:tcW w:w="2122" w:type="dxa"/>
            <w:vMerge/>
            <w:tcBorders>
              <w:bottom w:val="single" w:sz="4" w:space="0" w:color="auto"/>
            </w:tcBorders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numPr>
                <w:ilvl w:val="0"/>
                <w:numId w:val="15"/>
              </w:numPr>
              <w:spacing w:line="276" w:lineRule="auto"/>
              <w:ind w:left="289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System musi zapewniać dynamiczną analizę behawioralna kodu uruchamianego w realnych środowiskach testowych Windows 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7FD7" w:rsidRPr="001E4C76" w:rsidTr="008559DF">
        <w:trPr>
          <w:jc w:val="center"/>
        </w:trPr>
        <w:tc>
          <w:tcPr>
            <w:tcW w:w="10627" w:type="dxa"/>
            <w:gridSpan w:val="4"/>
            <w:shd w:val="clear" w:color="auto" w:fill="D9D9D9" w:themeFill="background1" w:themeFillShade="D9"/>
            <w:vAlign w:val="center"/>
          </w:tcPr>
          <w:p w:rsidR="00F37FD7" w:rsidRPr="001E4C76" w:rsidRDefault="00F37FD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LOGOWANIE I RAPORTOWANIE</w:t>
            </w:r>
          </w:p>
        </w:tc>
      </w:tr>
      <w:tr w:rsidR="004D52A7" w:rsidRPr="001E4C76" w:rsidTr="008559DF">
        <w:trPr>
          <w:gridAfter w:val="1"/>
          <w:wAfter w:w="14" w:type="dxa"/>
          <w:trHeight w:val="165"/>
          <w:jc w:val="center"/>
        </w:trPr>
        <w:tc>
          <w:tcPr>
            <w:tcW w:w="2122" w:type="dxa"/>
            <w:vMerge w:val="restart"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widowControl w:val="0"/>
              <w:numPr>
                <w:ilvl w:val="0"/>
                <w:numId w:val="16"/>
              </w:numPr>
              <w:suppressAutoHyphens/>
              <w:spacing w:line="276" w:lineRule="auto"/>
              <w:ind w:left="289" w:right="86" w:hanging="283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</w:rPr>
            </w:pP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System musi umożliwiać składowanie oraz archiwizację logów.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widowControl w:val="0"/>
              <w:suppressAutoHyphens/>
              <w:spacing w:line="276" w:lineRule="auto"/>
              <w:ind w:left="289" w:right="86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1320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widowControl w:val="0"/>
              <w:numPr>
                <w:ilvl w:val="0"/>
                <w:numId w:val="16"/>
              </w:numPr>
              <w:suppressAutoHyphens/>
              <w:spacing w:line="276" w:lineRule="auto"/>
              <w:ind w:left="289" w:right="86" w:hanging="283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System musi gromadzić informacje o zdarzeniach dotyczących protokołów Web, FTP, VPN, SSL VPN, wykorzystywanych aplikacjach sieciowych, wykrytych: atakach sieciowych, wirusach, zablokowanych aplikacjach sieciowych  oraz musi powiązać wszystkie powyższe zdarzenia z nazwami użytkowników.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widowControl w:val="0"/>
              <w:suppressAutoHyphens/>
              <w:spacing w:line="276" w:lineRule="auto"/>
              <w:ind w:left="289" w:right="86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420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widowControl w:val="0"/>
              <w:numPr>
                <w:ilvl w:val="0"/>
                <w:numId w:val="16"/>
              </w:numPr>
              <w:suppressAutoHyphens/>
              <w:spacing w:line="276" w:lineRule="auto"/>
              <w:ind w:left="289" w:right="86" w:hanging="283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System musi zapewniać przeglądanie archiwalnych logów przy zastosowaniu funkcji filtrujących.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widowControl w:val="0"/>
              <w:suppressAutoHyphens/>
              <w:spacing w:line="276" w:lineRule="auto"/>
              <w:ind w:left="289" w:right="86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675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widowControl w:val="0"/>
              <w:numPr>
                <w:ilvl w:val="0"/>
                <w:numId w:val="16"/>
              </w:numPr>
              <w:suppressAutoHyphens/>
              <w:spacing w:line="276" w:lineRule="auto"/>
              <w:ind w:left="289" w:right="86" w:hanging="283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System musi zapewniać eksport zgromadzonych logów do zewnętrznych systemów składowania danych (długoterminowe przechowywanie danych).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widowControl w:val="0"/>
              <w:suppressAutoHyphens/>
              <w:spacing w:line="276" w:lineRule="auto"/>
              <w:ind w:left="289" w:right="86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120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widowControl w:val="0"/>
              <w:numPr>
                <w:ilvl w:val="0"/>
                <w:numId w:val="16"/>
              </w:numPr>
              <w:suppressAutoHyphens/>
              <w:spacing w:line="276" w:lineRule="auto"/>
              <w:ind w:left="289" w:right="86" w:hanging="283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  <w:r w:rsidRPr="001E4C7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Rozwiązanie </w:t>
            </w: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musi</w:t>
            </w:r>
            <w:r w:rsidRPr="001E4C7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generować</w:t>
            </w:r>
            <w:r w:rsidRPr="001E4C7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raporty</w:t>
            </w:r>
            <w:r w:rsidRPr="001E4C7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w</w:t>
            </w:r>
            <w:r w:rsidRPr="001E4C7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r w:rsidRPr="001E4C76">
              <w:rPr>
                <w:rFonts w:ascii="Arial" w:hAnsi="Arial" w:cs="Arial"/>
                <w:color w:val="000000"/>
                <w:sz w:val="18"/>
                <w:szCs w:val="18"/>
              </w:rPr>
              <w:t>HTML i CSV.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widowControl w:val="0"/>
              <w:suppressAutoHyphens/>
              <w:spacing w:line="276" w:lineRule="auto"/>
              <w:ind w:left="289" w:right="86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390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widowControl w:val="0"/>
              <w:numPr>
                <w:ilvl w:val="0"/>
                <w:numId w:val="16"/>
              </w:numPr>
              <w:suppressAutoHyphens/>
              <w:spacing w:line="276" w:lineRule="auto"/>
              <w:ind w:left="289" w:right="86" w:hanging="283"/>
              <w:contextualSpacing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Rozwiązanie musi oferować możliwość wysyłania logów systemowych do serwerów syslog.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widowControl w:val="0"/>
              <w:suppressAutoHyphens/>
              <w:spacing w:line="276" w:lineRule="auto"/>
              <w:ind w:left="289" w:right="86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420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widowControl w:val="0"/>
              <w:numPr>
                <w:ilvl w:val="0"/>
                <w:numId w:val="16"/>
              </w:numPr>
              <w:suppressAutoHyphens/>
              <w:spacing w:line="276" w:lineRule="auto"/>
              <w:ind w:left="289" w:right="86" w:hanging="28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System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musi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zapewniać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podgląd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wykorzystania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łącza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internetowego.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widowControl w:val="0"/>
              <w:suppressAutoHyphens/>
              <w:spacing w:line="276" w:lineRule="auto"/>
              <w:ind w:left="289" w:right="86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645"/>
          <w:jc w:val="center"/>
        </w:trPr>
        <w:tc>
          <w:tcPr>
            <w:tcW w:w="2122" w:type="dxa"/>
            <w:vMerge/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widowControl w:val="0"/>
              <w:numPr>
                <w:ilvl w:val="0"/>
                <w:numId w:val="16"/>
              </w:numPr>
              <w:suppressAutoHyphens/>
              <w:spacing w:line="276" w:lineRule="auto"/>
              <w:ind w:left="289" w:right="86" w:hanging="283"/>
              <w:contextualSpacing/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System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musi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zapewniać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podgląd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w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czasie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rzeczywistym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wykorzystania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łącza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i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ilości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wysyłanych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danych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w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oparciu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o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użytkownika/adres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IP</w:t>
            </w:r>
            <w:r w:rsidRPr="001E4C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 xml:space="preserve"> 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widowControl w:val="0"/>
              <w:suppressAutoHyphens/>
              <w:spacing w:line="276" w:lineRule="auto"/>
              <w:ind w:left="289" w:right="86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</w:p>
        </w:tc>
      </w:tr>
      <w:tr w:rsidR="004D52A7" w:rsidRPr="001E4C76" w:rsidTr="008559DF">
        <w:trPr>
          <w:gridAfter w:val="1"/>
          <w:wAfter w:w="14" w:type="dxa"/>
          <w:trHeight w:val="975"/>
          <w:jc w:val="center"/>
        </w:trPr>
        <w:tc>
          <w:tcPr>
            <w:tcW w:w="2122" w:type="dxa"/>
            <w:vMerge/>
            <w:tcBorders>
              <w:bottom w:val="single" w:sz="4" w:space="0" w:color="auto"/>
            </w:tcBorders>
            <w:vAlign w:val="center"/>
          </w:tcPr>
          <w:p w:rsidR="004D52A7" w:rsidRPr="001E4C76" w:rsidRDefault="004D52A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4D52A7" w:rsidRPr="001E4C76" w:rsidRDefault="004D52A7">
            <w:pPr>
              <w:widowControl w:val="0"/>
              <w:numPr>
                <w:ilvl w:val="0"/>
                <w:numId w:val="16"/>
              </w:numPr>
              <w:suppressAutoHyphens/>
              <w:spacing w:line="276" w:lineRule="auto"/>
              <w:ind w:left="289" w:right="86" w:hanging="283"/>
              <w:contextualSpacing/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  <w:r w:rsidRPr="001E4C76"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  <w:t>Rozwiązanie musi oferować możliwość zanonimizowania danych.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D52A7" w:rsidRPr="001E4C76" w:rsidRDefault="004D52A7" w:rsidP="00197CD7">
            <w:pPr>
              <w:widowControl w:val="0"/>
              <w:suppressAutoHyphens/>
              <w:spacing w:line="276" w:lineRule="auto"/>
              <w:ind w:left="289" w:right="86"/>
              <w:contextualSpacing/>
              <w:rPr>
                <w:rFonts w:ascii="Arial" w:eastAsia="DejaVu Sans Condensed" w:hAnsi="Arial" w:cs="Arial"/>
                <w:color w:val="000000"/>
                <w:kern w:val="1"/>
                <w:sz w:val="18"/>
                <w:szCs w:val="18"/>
                <w:lang w:eastAsia="zh-CN" w:bidi="hi-IN"/>
              </w:rPr>
            </w:pPr>
          </w:p>
        </w:tc>
      </w:tr>
      <w:tr w:rsidR="00F37FD7" w:rsidRPr="001E4C76" w:rsidTr="008559DF">
        <w:trPr>
          <w:jc w:val="center"/>
        </w:trPr>
        <w:tc>
          <w:tcPr>
            <w:tcW w:w="10627" w:type="dxa"/>
            <w:gridSpan w:val="4"/>
            <w:shd w:val="clear" w:color="auto" w:fill="D9D9D9" w:themeFill="background1" w:themeFillShade="D9"/>
            <w:vAlign w:val="center"/>
          </w:tcPr>
          <w:p w:rsidR="00F37FD7" w:rsidRPr="001E4C76" w:rsidRDefault="00F37FD7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POZOSTAŁE</w:t>
            </w:r>
          </w:p>
        </w:tc>
      </w:tr>
      <w:tr w:rsidR="00F45996" w:rsidRPr="001E4C76" w:rsidTr="008559DF">
        <w:trPr>
          <w:gridAfter w:val="1"/>
          <w:wAfter w:w="14" w:type="dxa"/>
          <w:trHeight w:val="747"/>
          <w:jc w:val="center"/>
        </w:trPr>
        <w:tc>
          <w:tcPr>
            <w:tcW w:w="2122" w:type="dxa"/>
            <w:vAlign w:val="center"/>
          </w:tcPr>
          <w:p w:rsidR="00F45996" w:rsidRPr="001E4C76" w:rsidRDefault="00F45996" w:rsidP="00197CD7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Certyfikaty</w:t>
            </w:r>
          </w:p>
        </w:tc>
        <w:tc>
          <w:tcPr>
            <w:tcW w:w="5528" w:type="dxa"/>
          </w:tcPr>
          <w:p w:rsidR="00F45996" w:rsidRPr="001E4C76" w:rsidRDefault="00F4599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Urządzenie musi posiadać:</w:t>
            </w:r>
          </w:p>
          <w:p w:rsidR="00F45996" w:rsidRPr="001E4C76" w:rsidRDefault="00F4599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certyfikat Common Criteria;</w:t>
            </w:r>
          </w:p>
          <w:p w:rsidR="00F45996" w:rsidRPr="001E4C76" w:rsidRDefault="00F4599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- certyfikat ICSA Labs dla funkcji VPN IPSec lub znajdować się na liście produktów kryptograficznych zatwierdzonych przez Radę UE;</w:t>
            </w:r>
          </w:p>
        </w:tc>
        <w:tc>
          <w:tcPr>
            <w:tcW w:w="2963" w:type="dxa"/>
          </w:tcPr>
          <w:p w:rsidR="00F45996" w:rsidRPr="001E4C76" w:rsidRDefault="00F4599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5996" w:rsidRPr="001E4C76" w:rsidTr="008559DF">
        <w:trPr>
          <w:gridAfter w:val="1"/>
          <w:wAfter w:w="14" w:type="dxa"/>
          <w:jc w:val="center"/>
        </w:trPr>
        <w:tc>
          <w:tcPr>
            <w:tcW w:w="2122" w:type="dxa"/>
            <w:vAlign w:val="center"/>
          </w:tcPr>
          <w:p w:rsidR="00F45996" w:rsidRPr="001E4C76" w:rsidRDefault="00F45996" w:rsidP="00197CD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4C76">
              <w:rPr>
                <w:rFonts w:ascii="Arial" w:hAnsi="Arial" w:cs="Arial"/>
                <w:b/>
                <w:sz w:val="18"/>
                <w:szCs w:val="18"/>
              </w:rPr>
              <w:t>Wyposażenie dodatkowe</w:t>
            </w:r>
          </w:p>
        </w:tc>
        <w:tc>
          <w:tcPr>
            <w:tcW w:w="5528" w:type="dxa"/>
          </w:tcPr>
          <w:p w:rsidR="00197CD7" w:rsidRPr="001E4C76" w:rsidRDefault="00F4599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Wraz z urządzeniem należy dostarczyć: komplet 2 wkładek 10GbE SFP+ do UTM, pracujących w standardzie SR</w:t>
            </w:r>
          </w:p>
        </w:tc>
        <w:tc>
          <w:tcPr>
            <w:tcW w:w="2963" w:type="dxa"/>
          </w:tcPr>
          <w:p w:rsidR="00F45996" w:rsidRPr="001E4C76" w:rsidRDefault="00F45996" w:rsidP="00197CD7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7CD7" w:rsidRPr="001E4C76" w:rsidTr="008559DF">
        <w:trPr>
          <w:trHeight w:val="144"/>
          <w:jc w:val="center"/>
        </w:trPr>
        <w:tc>
          <w:tcPr>
            <w:tcW w:w="10627" w:type="dxa"/>
            <w:gridSpan w:val="4"/>
            <w:shd w:val="clear" w:color="auto" w:fill="D9D9D9" w:themeFill="background1" w:themeFillShade="D9"/>
            <w:vAlign w:val="center"/>
          </w:tcPr>
          <w:p w:rsidR="00197CD7" w:rsidRPr="003F3D86" w:rsidRDefault="00197CD7" w:rsidP="00197CD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3D86">
              <w:rPr>
                <w:rFonts w:ascii="Arial" w:hAnsi="Arial" w:cs="Arial"/>
                <w:b/>
                <w:bCs/>
                <w:sz w:val="18"/>
                <w:szCs w:val="18"/>
              </w:rPr>
              <w:t>GWARANCJA I SERWIS</w:t>
            </w:r>
          </w:p>
        </w:tc>
      </w:tr>
      <w:tr w:rsidR="008559DF" w:rsidRPr="001E4C76" w:rsidTr="008559DF">
        <w:trPr>
          <w:jc w:val="center"/>
        </w:trPr>
        <w:tc>
          <w:tcPr>
            <w:tcW w:w="2122" w:type="dxa"/>
            <w:vAlign w:val="center"/>
          </w:tcPr>
          <w:p w:rsidR="008559DF" w:rsidRPr="00197CD7" w:rsidRDefault="008559DF" w:rsidP="00197CD7">
            <w:pPr>
              <w:spacing w:line="276" w:lineRule="auto"/>
              <w:ind w:right="-10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3" w:name="_Hlk113447821"/>
            <w:r w:rsidRPr="00197CD7">
              <w:rPr>
                <w:rFonts w:ascii="Arial" w:hAnsi="Arial" w:cs="Arial"/>
                <w:b/>
                <w:bCs/>
                <w:sz w:val="18"/>
                <w:szCs w:val="18"/>
              </w:rPr>
              <w:t>Wymagania ogólne dla dostarczanych rozwiązań:</w:t>
            </w:r>
            <w:bookmarkEnd w:id="3"/>
          </w:p>
        </w:tc>
        <w:tc>
          <w:tcPr>
            <w:tcW w:w="5528" w:type="dxa"/>
            <w:vAlign w:val="center"/>
          </w:tcPr>
          <w:p w:rsidR="008559DF" w:rsidRPr="009A2469" w:rsidRDefault="008559DF">
            <w:pPr>
              <w:pStyle w:val="Akapitzlist"/>
              <w:numPr>
                <w:ilvl w:val="0"/>
                <w:numId w:val="27"/>
              </w:numPr>
              <w:spacing w:line="276" w:lineRule="auto"/>
              <w:ind w:left="318" w:hanging="260"/>
              <w:rPr>
                <w:rFonts w:ascii="Arial" w:hAnsi="Arial" w:cs="Arial"/>
                <w:sz w:val="18"/>
                <w:szCs w:val="18"/>
              </w:rPr>
            </w:pPr>
            <w:bookmarkStart w:id="4" w:name="_Hlk113447852"/>
            <w:r w:rsidRPr="009A2469">
              <w:rPr>
                <w:rFonts w:ascii="Arial" w:hAnsi="Arial" w:cs="Arial"/>
                <w:sz w:val="18"/>
                <w:szCs w:val="18"/>
              </w:rPr>
              <w:t>Dostarczone urządzenia musza być fabrycznie nowe, nieużywane w innych projektach, nie wycofane z produkcji i pochodzić z legalnego, polskiego kanału dystrybucji.</w:t>
            </w:r>
          </w:p>
          <w:p w:rsidR="008559DF" w:rsidRPr="009A2469" w:rsidRDefault="008559DF">
            <w:pPr>
              <w:pStyle w:val="Akapitzlist"/>
              <w:numPr>
                <w:ilvl w:val="0"/>
                <w:numId w:val="27"/>
              </w:numPr>
              <w:spacing w:line="276" w:lineRule="auto"/>
              <w:ind w:left="318" w:hanging="260"/>
              <w:rPr>
                <w:rFonts w:ascii="Arial" w:hAnsi="Arial" w:cs="Arial"/>
                <w:sz w:val="18"/>
                <w:szCs w:val="18"/>
              </w:rPr>
            </w:pPr>
            <w:r w:rsidRPr="009A2469">
              <w:rPr>
                <w:rFonts w:ascii="Arial" w:hAnsi="Arial" w:cs="Arial"/>
                <w:sz w:val="18"/>
                <w:szCs w:val="18"/>
              </w:rPr>
              <w:t>Całość dostarczanego sprzętu musi pochodzić z autoryzowanego kanału sprzedaży producentów na teren Polski – ze względów gwarancyjnych niedopuszczalne jest dostarczanie sprzętu z tzw. brokerki,</w:t>
            </w:r>
          </w:p>
          <w:p w:rsidR="008559DF" w:rsidRPr="009A2469" w:rsidRDefault="008559DF">
            <w:pPr>
              <w:pStyle w:val="Akapitzlist"/>
              <w:numPr>
                <w:ilvl w:val="0"/>
                <w:numId w:val="27"/>
              </w:numPr>
              <w:spacing w:line="276" w:lineRule="auto"/>
              <w:ind w:left="318" w:hanging="260"/>
              <w:rPr>
                <w:rFonts w:ascii="Arial" w:hAnsi="Arial" w:cs="Arial"/>
                <w:sz w:val="18"/>
                <w:szCs w:val="18"/>
              </w:rPr>
            </w:pPr>
            <w:r w:rsidRPr="009A2469">
              <w:rPr>
                <w:rFonts w:ascii="Arial" w:hAnsi="Arial" w:cs="Arial"/>
                <w:sz w:val="18"/>
                <w:szCs w:val="18"/>
              </w:rPr>
              <w:t>Całość dostarczonego sprzętu musi być objęta gwarancją opartą o świadczenia gwarancyjne producentów w okresie zapisanym w specyfikacjach sprzętu,</w:t>
            </w:r>
          </w:p>
          <w:p w:rsidR="008559DF" w:rsidRPr="009A2469" w:rsidRDefault="008559DF">
            <w:pPr>
              <w:pStyle w:val="Akapitzlist"/>
              <w:numPr>
                <w:ilvl w:val="0"/>
                <w:numId w:val="27"/>
              </w:numPr>
              <w:spacing w:line="276" w:lineRule="auto"/>
              <w:ind w:left="318" w:hanging="260"/>
              <w:rPr>
                <w:rFonts w:ascii="Arial" w:hAnsi="Arial" w:cs="Arial"/>
                <w:sz w:val="18"/>
                <w:szCs w:val="18"/>
              </w:rPr>
            </w:pPr>
            <w:r w:rsidRPr="009A2469">
              <w:rPr>
                <w:rFonts w:ascii="Arial" w:hAnsi="Arial" w:cs="Arial"/>
                <w:sz w:val="18"/>
                <w:szCs w:val="18"/>
              </w:rPr>
              <w:t>Całość dostarczonego sprzętu i oprogramowanie musi być ze sobą kompatybilna i pochodzić od jednego producenta,</w:t>
            </w:r>
          </w:p>
          <w:p w:rsidR="008559DF" w:rsidRPr="008559DF" w:rsidRDefault="008559DF" w:rsidP="008559DF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9A2469">
              <w:rPr>
                <w:rFonts w:ascii="Arial" w:hAnsi="Arial" w:cs="Arial"/>
                <w:sz w:val="18"/>
                <w:szCs w:val="18"/>
              </w:rPr>
              <w:t>Wykonawca winien w momencie dostawy przedłożyć dokumenty potwierdzające, że posiada autoryzację producenta w zakresie sprzedaży oferowanych rozwiązań oraz świadczenia us</w:t>
            </w:r>
            <w:r>
              <w:rPr>
                <w:rFonts w:ascii="Arial" w:hAnsi="Arial" w:cs="Arial"/>
                <w:sz w:val="18"/>
                <w:szCs w:val="18"/>
              </w:rPr>
              <w:t>ł</w:t>
            </w:r>
            <w:r w:rsidRPr="009A2469">
              <w:rPr>
                <w:rFonts w:ascii="Arial" w:hAnsi="Arial" w:cs="Arial"/>
                <w:sz w:val="18"/>
                <w:szCs w:val="18"/>
              </w:rPr>
              <w:t>ug z nimi związanych.</w:t>
            </w:r>
            <w:bookmarkEnd w:id="4"/>
          </w:p>
        </w:tc>
        <w:tc>
          <w:tcPr>
            <w:tcW w:w="2977" w:type="dxa"/>
            <w:gridSpan w:val="2"/>
            <w:vAlign w:val="center"/>
          </w:tcPr>
          <w:p w:rsidR="008559DF" w:rsidRPr="008559DF" w:rsidRDefault="008559DF" w:rsidP="008559DF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2469" w:rsidRPr="001E4C76" w:rsidTr="008559DF">
        <w:trPr>
          <w:gridAfter w:val="1"/>
          <w:wAfter w:w="14" w:type="dxa"/>
          <w:jc w:val="center"/>
        </w:trPr>
        <w:tc>
          <w:tcPr>
            <w:tcW w:w="2122" w:type="dxa"/>
            <w:vAlign w:val="center"/>
          </w:tcPr>
          <w:p w:rsidR="009A2469" w:rsidRPr="001E4C76" w:rsidRDefault="003F3D86" w:rsidP="00C776BE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5" w:name="_Hlk113447904"/>
            <w:r w:rsidRPr="003F3D86">
              <w:rPr>
                <w:rFonts w:ascii="Arial" w:hAnsi="Arial" w:cs="Arial"/>
                <w:b/>
                <w:sz w:val="18"/>
                <w:szCs w:val="18"/>
              </w:rPr>
              <w:t xml:space="preserve">Warunki gwarancji i </w:t>
            </w:r>
            <w:r w:rsidRPr="003F3D86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serwisu </w:t>
            </w:r>
            <w:bookmarkEnd w:id="5"/>
            <w:r w:rsidRPr="003F3D86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528" w:type="dxa"/>
          </w:tcPr>
          <w:p w:rsidR="003F3D86" w:rsidRPr="003F3D86" w:rsidRDefault="003F3D86">
            <w:pPr>
              <w:pStyle w:val="Akapitzlist"/>
              <w:numPr>
                <w:ilvl w:val="0"/>
                <w:numId w:val="28"/>
              </w:numPr>
              <w:spacing w:line="276" w:lineRule="auto"/>
              <w:ind w:left="319" w:hanging="259"/>
              <w:rPr>
                <w:rFonts w:ascii="Arial" w:hAnsi="Arial" w:cs="Arial"/>
                <w:sz w:val="18"/>
                <w:szCs w:val="18"/>
              </w:rPr>
            </w:pPr>
            <w:bookmarkStart w:id="6" w:name="_Hlk113447915"/>
            <w:r w:rsidRPr="003F3D86">
              <w:rPr>
                <w:rFonts w:ascii="Arial" w:hAnsi="Arial" w:cs="Arial"/>
                <w:sz w:val="18"/>
                <w:szCs w:val="18"/>
              </w:rPr>
              <w:lastRenderedPageBreak/>
              <w:t xml:space="preserve">Na dostarczany sprzęt musi być udzielona min. 36-miesięczna </w:t>
            </w:r>
            <w:r w:rsidRPr="003F3D86">
              <w:rPr>
                <w:rFonts w:ascii="Arial" w:hAnsi="Arial" w:cs="Arial"/>
                <w:sz w:val="18"/>
                <w:szCs w:val="18"/>
              </w:rPr>
              <w:lastRenderedPageBreak/>
              <w:t>gwarancja; Zamawiający wymaga, by serwis był autoryzowany przez producenta urządzeń, to jest by zapewniona była wymiana urządzeń zgodnie z metodyką i zaleceniami producenta dostarczonych rozwiązań,</w:t>
            </w:r>
          </w:p>
          <w:p w:rsidR="009A2469" w:rsidRPr="003F3D86" w:rsidRDefault="003F3D86">
            <w:pPr>
              <w:pStyle w:val="Akapitzlist"/>
              <w:numPr>
                <w:ilvl w:val="0"/>
                <w:numId w:val="28"/>
              </w:numPr>
              <w:spacing w:line="276" w:lineRule="auto"/>
              <w:ind w:left="319" w:hanging="259"/>
              <w:rPr>
                <w:rFonts w:ascii="Arial" w:hAnsi="Arial" w:cs="Arial"/>
                <w:sz w:val="18"/>
                <w:szCs w:val="18"/>
              </w:rPr>
            </w:pPr>
            <w:r w:rsidRPr="003F3D86">
              <w:rPr>
                <w:rFonts w:ascii="Arial" w:hAnsi="Arial" w:cs="Arial"/>
                <w:sz w:val="18"/>
                <w:szCs w:val="18"/>
              </w:rPr>
              <w:t>Wykonawca lub autoryzowany serwis ma obowiązek przyjmowania zgłoszeń serwisowych w języku polskim przez telefon (od poniedziałku do piątku, w godzinach 8-17), e-mail lub WWW (przez całą dobę),</w:t>
            </w:r>
            <w:bookmarkEnd w:id="6"/>
          </w:p>
        </w:tc>
        <w:tc>
          <w:tcPr>
            <w:tcW w:w="2963" w:type="dxa"/>
          </w:tcPr>
          <w:p w:rsidR="009A2469" w:rsidRPr="001E4C76" w:rsidRDefault="009A2469" w:rsidP="00C776B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F3D86" w:rsidRPr="001E4C76" w:rsidTr="008559DF">
        <w:trPr>
          <w:gridAfter w:val="1"/>
          <w:wAfter w:w="14" w:type="dxa"/>
          <w:jc w:val="center"/>
        </w:trPr>
        <w:tc>
          <w:tcPr>
            <w:tcW w:w="2122" w:type="dxa"/>
            <w:vAlign w:val="center"/>
          </w:tcPr>
          <w:p w:rsidR="003F3D86" w:rsidRPr="001E4C76" w:rsidRDefault="003F3D86" w:rsidP="00C776BE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7" w:name="_Hlk113448145"/>
            <w:r w:rsidRPr="003F3D86">
              <w:rPr>
                <w:rFonts w:ascii="Arial" w:hAnsi="Arial" w:cs="Arial"/>
                <w:b/>
                <w:sz w:val="18"/>
                <w:szCs w:val="18"/>
              </w:rPr>
              <w:lastRenderedPageBreak/>
              <w:t>Zamawiający uzyska dostęp do stron internetowych producentów rozwiązań, umożliwiający:</w:t>
            </w:r>
            <w:bookmarkEnd w:id="7"/>
          </w:p>
        </w:tc>
        <w:tc>
          <w:tcPr>
            <w:tcW w:w="5528" w:type="dxa"/>
          </w:tcPr>
          <w:p w:rsidR="003F3D86" w:rsidRPr="003F3D86" w:rsidRDefault="003F3D86">
            <w:pPr>
              <w:pStyle w:val="Akapitzlist"/>
              <w:numPr>
                <w:ilvl w:val="0"/>
                <w:numId w:val="29"/>
              </w:numPr>
              <w:spacing w:line="276" w:lineRule="auto"/>
              <w:ind w:left="319" w:hanging="259"/>
              <w:rPr>
                <w:rFonts w:ascii="Arial" w:hAnsi="Arial" w:cs="Arial"/>
                <w:sz w:val="18"/>
                <w:szCs w:val="18"/>
              </w:rPr>
            </w:pPr>
            <w:bookmarkStart w:id="8" w:name="_Hlk113448237"/>
            <w:r w:rsidRPr="003F3D86">
              <w:rPr>
                <w:rFonts w:ascii="Arial" w:hAnsi="Arial" w:cs="Arial"/>
                <w:sz w:val="18"/>
                <w:szCs w:val="18"/>
              </w:rPr>
              <w:t>bezpłatne pobieranie najnowszego oprogramowania aktualizującego system do najnowszej wersji przez okres trwania gwarancji i licencji</w:t>
            </w:r>
          </w:p>
          <w:p w:rsidR="003F3D86" w:rsidRPr="003F3D86" w:rsidRDefault="003F3D86">
            <w:pPr>
              <w:pStyle w:val="Akapitzlist"/>
              <w:numPr>
                <w:ilvl w:val="0"/>
                <w:numId w:val="29"/>
              </w:numPr>
              <w:spacing w:line="276" w:lineRule="auto"/>
              <w:ind w:left="319" w:hanging="259"/>
              <w:rPr>
                <w:rFonts w:ascii="Arial" w:hAnsi="Arial" w:cs="Arial"/>
                <w:sz w:val="18"/>
                <w:szCs w:val="18"/>
              </w:rPr>
            </w:pPr>
            <w:r w:rsidRPr="003F3D86">
              <w:rPr>
                <w:rFonts w:ascii="Arial" w:hAnsi="Arial" w:cs="Arial"/>
                <w:sz w:val="18"/>
                <w:szCs w:val="18"/>
              </w:rPr>
              <w:t>dostęp do dokumentacji sprzętu i oprogramowania,</w:t>
            </w:r>
          </w:p>
          <w:p w:rsidR="003F3D86" w:rsidRPr="003F3D86" w:rsidRDefault="003F3D86">
            <w:pPr>
              <w:pStyle w:val="Akapitzlist"/>
              <w:numPr>
                <w:ilvl w:val="0"/>
                <w:numId w:val="29"/>
              </w:numPr>
              <w:spacing w:line="276" w:lineRule="auto"/>
              <w:ind w:left="319" w:hanging="259"/>
              <w:rPr>
                <w:rFonts w:ascii="Arial" w:hAnsi="Arial" w:cs="Arial"/>
                <w:sz w:val="18"/>
                <w:szCs w:val="18"/>
              </w:rPr>
            </w:pPr>
            <w:r w:rsidRPr="003F3D86">
              <w:rPr>
                <w:rFonts w:ascii="Arial" w:hAnsi="Arial" w:cs="Arial"/>
                <w:sz w:val="18"/>
                <w:szCs w:val="18"/>
              </w:rPr>
              <w:t>dostęp do narzędzi konfiguracyjnych i dokumentacji technicznej,</w:t>
            </w:r>
          </w:p>
          <w:p w:rsidR="003F3D86" w:rsidRPr="003F3D86" w:rsidRDefault="003F3D86">
            <w:pPr>
              <w:pStyle w:val="Akapitzlist"/>
              <w:numPr>
                <w:ilvl w:val="0"/>
                <w:numId w:val="29"/>
              </w:numPr>
              <w:spacing w:line="276" w:lineRule="auto"/>
              <w:ind w:left="319" w:hanging="259"/>
              <w:rPr>
                <w:rFonts w:ascii="Arial" w:hAnsi="Arial" w:cs="Arial"/>
                <w:sz w:val="18"/>
                <w:szCs w:val="18"/>
              </w:rPr>
            </w:pPr>
            <w:r w:rsidRPr="003F3D86">
              <w:rPr>
                <w:rFonts w:ascii="Arial" w:hAnsi="Arial" w:cs="Arial"/>
                <w:sz w:val="18"/>
                <w:szCs w:val="18"/>
              </w:rPr>
              <w:t>dostęp do pomocy technicznej producenta.</w:t>
            </w:r>
          </w:p>
          <w:p w:rsidR="003F3D86" w:rsidRPr="003F3D86" w:rsidRDefault="003F3D86" w:rsidP="003F3D86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3F3D86">
              <w:rPr>
                <w:rFonts w:ascii="Arial" w:hAnsi="Arial" w:cs="Arial"/>
                <w:sz w:val="18"/>
                <w:szCs w:val="18"/>
              </w:rPr>
              <w:t>Zamawiający w momencie odbioru otrzyma:</w:t>
            </w:r>
          </w:p>
          <w:p w:rsidR="003F3D86" w:rsidRPr="003F3D86" w:rsidRDefault="003F3D86">
            <w:pPr>
              <w:pStyle w:val="Akapitzlist"/>
              <w:numPr>
                <w:ilvl w:val="0"/>
                <w:numId w:val="29"/>
              </w:numPr>
              <w:spacing w:line="276" w:lineRule="auto"/>
              <w:ind w:left="319" w:hanging="259"/>
              <w:rPr>
                <w:rFonts w:ascii="Arial" w:hAnsi="Arial" w:cs="Arial"/>
                <w:sz w:val="18"/>
                <w:szCs w:val="18"/>
              </w:rPr>
            </w:pPr>
            <w:r w:rsidRPr="003F3D86">
              <w:rPr>
                <w:rFonts w:ascii="Arial" w:hAnsi="Arial" w:cs="Arial"/>
                <w:sz w:val="18"/>
                <w:szCs w:val="18"/>
              </w:rPr>
              <w:t>licencje obejmujące wszystkie wymagane moduły na okres min. 36 miesięcy</w:t>
            </w:r>
          </w:p>
          <w:p w:rsidR="003F3D86" w:rsidRPr="003F3D86" w:rsidRDefault="003F3D86">
            <w:pPr>
              <w:pStyle w:val="Akapitzlist"/>
              <w:numPr>
                <w:ilvl w:val="0"/>
                <w:numId w:val="29"/>
              </w:numPr>
              <w:spacing w:line="276" w:lineRule="auto"/>
              <w:ind w:left="319" w:hanging="259"/>
              <w:rPr>
                <w:rFonts w:ascii="Arial" w:hAnsi="Arial" w:cs="Arial"/>
                <w:sz w:val="18"/>
                <w:szCs w:val="18"/>
              </w:rPr>
            </w:pPr>
            <w:r w:rsidRPr="003F3D86">
              <w:rPr>
                <w:rFonts w:ascii="Arial" w:hAnsi="Arial" w:cs="Arial"/>
                <w:sz w:val="18"/>
                <w:szCs w:val="18"/>
              </w:rPr>
              <w:t>możliwość automatycznego pobierania subskrypcji dla wszystkich wymaganych modułów w okresie trwania licencji.</w:t>
            </w:r>
            <w:bookmarkEnd w:id="8"/>
          </w:p>
        </w:tc>
        <w:tc>
          <w:tcPr>
            <w:tcW w:w="2963" w:type="dxa"/>
          </w:tcPr>
          <w:p w:rsidR="003F3D86" w:rsidRPr="001E4C76" w:rsidRDefault="003F3D86" w:rsidP="00C776B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15354" w:rsidRDefault="00315354" w:rsidP="00197CD7">
      <w:pPr>
        <w:spacing w:line="276" w:lineRule="auto"/>
        <w:rPr>
          <w:rFonts w:ascii="Arial" w:hAnsi="Arial" w:cs="Arial"/>
        </w:rPr>
      </w:pPr>
    </w:p>
    <w:p w:rsidR="00315354" w:rsidRPr="001E4C76" w:rsidRDefault="00315354" w:rsidP="00315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315354" w:rsidRPr="001E4C76" w:rsidRDefault="00315354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  <w:b/>
          <w:sz w:val="24"/>
          <w:szCs w:val="24"/>
          <w:u w:val="single"/>
          <w:lang w:val="pl-PL"/>
        </w:rPr>
      </w:pPr>
      <w:r w:rsidRPr="001E4C76">
        <w:rPr>
          <w:rFonts w:ascii="Arial" w:hAnsi="Arial" w:cs="Arial"/>
          <w:b/>
          <w:sz w:val="24"/>
          <w:szCs w:val="24"/>
          <w:u w:val="single"/>
          <w:lang w:val="pl-PL"/>
        </w:rPr>
        <w:t xml:space="preserve">Szafa serwerowa rack 19” 42U– ilość 1 szt., o niżej opisanych wymaganiach technicznych: </w:t>
      </w:r>
    </w:p>
    <w:p w:rsidR="00A77946" w:rsidRPr="001E4C76" w:rsidRDefault="00A77946" w:rsidP="00A77946">
      <w:pPr>
        <w:pStyle w:val="Akapitzlist"/>
        <w:rPr>
          <w:rFonts w:ascii="Arial" w:hAnsi="Arial" w:cs="Arial"/>
          <w:sz w:val="18"/>
          <w:szCs w:val="18"/>
          <w:lang w:val="pl-PL"/>
        </w:rPr>
      </w:pPr>
    </w:p>
    <w:tbl>
      <w:tblPr>
        <w:tblStyle w:val="Tabela-Siatka"/>
        <w:tblW w:w="0" w:type="auto"/>
        <w:tblInd w:w="-34" w:type="dxa"/>
        <w:tblLook w:val="04A0"/>
      </w:tblPr>
      <w:tblGrid>
        <w:gridCol w:w="568"/>
        <w:gridCol w:w="4819"/>
        <w:gridCol w:w="5329"/>
      </w:tblGrid>
      <w:tr w:rsidR="001E508D" w:rsidRPr="001E4C76" w:rsidTr="001E508D">
        <w:tc>
          <w:tcPr>
            <w:tcW w:w="568" w:type="dxa"/>
            <w:shd w:val="clear" w:color="auto" w:fill="E7E6E6" w:themeFill="background2"/>
            <w:vAlign w:val="center"/>
          </w:tcPr>
          <w:p w:rsidR="00A77946" w:rsidRPr="001E4C76" w:rsidRDefault="00A77946" w:rsidP="00A77946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Lp.</w:t>
            </w:r>
          </w:p>
        </w:tc>
        <w:tc>
          <w:tcPr>
            <w:tcW w:w="4819" w:type="dxa"/>
            <w:shd w:val="clear" w:color="auto" w:fill="E7E6E6" w:themeFill="background2"/>
            <w:vAlign w:val="center"/>
          </w:tcPr>
          <w:p w:rsidR="00A77946" w:rsidRPr="001E4C76" w:rsidRDefault="00A77946" w:rsidP="00A779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>Opis wymagań szafy serwerowej</w:t>
            </w:r>
          </w:p>
        </w:tc>
        <w:tc>
          <w:tcPr>
            <w:tcW w:w="5329" w:type="dxa"/>
            <w:shd w:val="clear" w:color="auto" w:fill="E7E6E6" w:themeFill="background2"/>
            <w:vAlign w:val="center"/>
          </w:tcPr>
          <w:p w:rsidR="00A77946" w:rsidRPr="001E4C76" w:rsidRDefault="00A77946" w:rsidP="00A77946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Proponowane rozwiązanie</w:t>
            </w:r>
          </w:p>
        </w:tc>
      </w:tr>
      <w:tr w:rsidR="00A77946" w:rsidRPr="001E4C76" w:rsidTr="0079467A">
        <w:tc>
          <w:tcPr>
            <w:tcW w:w="568" w:type="dxa"/>
            <w:vAlign w:val="center"/>
          </w:tcPr>
          <w:p w:rsidR="00A77946" w:rsidRPr="001E4C76" w:rsidRDefault="00A77946" w:rsidP="0079467A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819" w:type="dxa"/>
          </w:tcPr>
          <w:p w:rsidR="00A77946" w:rsidRPr="001E4C76" w:rsidRDefault="00A77946" w:rsidP="001E508D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Szafa serwerowa szerokość 600mm, głębokość 1000 mm, wysokość 42U </w:t>
            </w:r>
          </w:p>
        </w:tc>
        <w:tc>
          <w:tcPr>
            <w:tcW w:w="5329" w:type="dxa"/>
          </w:tcPr>
          <w:p w:rsidR="00A77946" w:rsidRPr="001E4C76" w:rsidRDefault="00A77946" w:rsidP="00A77946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A77946" w:rsidRPr="001E4C76" w:rsidTr="0079467A">
        <w:tc>
          <w:tcPr>
            <w:tcW w:w="568" w:type="dxa"/>
            <w:vAlign w:val="center"/>
          </w:tcPr>
          <w:p w:rsidR="00A77946" w:rsidRPr="001E4C76" w:rsidRDefault="00A77946" w:rsidP="0079467A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819" w:type="dxa"/>
          </w:tcPr>
          <w:p w:rsidR="00A77946" w:rsidRPr="001E4C76" w:rsidRDefault="00A77946" w:rsidP="001E508D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Drzwi przednie i tylne perforowane o przewiewności min 60% </w:t>
            </w:r>
          </w:p>
        </w:tc>
        <w:tc>
          <w:tcPr>
            <w:tcW w:w="5329" w:type="dxa"/>
          </w:tcPr>
          <w:p w:rsidR="00A77946" w:rsidRPr="001E4C76" w:rsidRDefault="00A77946" w:rsidP="00A77946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A77946" w:rsidRPr="001E4C76" w:rsidTr="0079467A">
        <w:tc>
          <w:tcPr>
            <w:tcW w:w="568" w:type="dxa"/>
            <w:vAlign w:val="center"/>
          </w:tcPr>
          <w:p w:rsidR="00A77946" w:rsidRPr="001E4C76" w:rsidRDefault="00A77946" w:rsidP="0079467A">
            <w:pPr>
              <w:pStyle w:val="Akapitzlist"/>
              <w:ind w:left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1E4C76"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4819" w:type="dxa"/>
          </w:tcPr>
          <w:p w:rsidR="00A77946" w:rsidRPr="001E4C76" w:rsidRDefault="00A77946" w:rsidP="00A77946">
            <w:pPr>
              <w:rPr>
                <w:rFonts w:ascii="Arial" w:hAnsi="Arial" w:cs="Arial"/>
                <w:sz w:val="18"/>
                <w:szCs w:val="18"/>
              </w:rPr>
            </w:pPr>
            <w:r w:rsidRPr="001E4C76">
              <w:rPr>
                <w:rFonts w:ascii="Arial" w:hAnsi="Arial" w:cs="Arial"/>
                <w:sz w:val="18"/>
                <w:szCs w:val="18"/>
              </w:rPr>
              <w:t xml:space="preserve">Ścianki boczne lite, zdejmowane </w:t>
            </w:r>
          </w:p>
          <w:p w:rsidR="00A77946" w:rsidRPr="001E4C76" w:rsidRDefault="00A77946" w:rsidP="00A77946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329" w:type="dxa"/>
          </w:tcPr>
          <w:p w:rsidR="00A77946" w:rsidRPr="001E4C76" w:rsidRDefault="00A77946" w:rsidP="00A77946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bookmarkEnd w:id="0"/>
    </w:tbl>
    <w:p w:rsidR="006D24EA" w:rsidRPr="001E4C76" w:rsidRDefault="006D24EA" w:rsidP="00A77946">
      <w:pPr>
        <w:rPr>
          <w:rFonts w:ascii="Arial" w:hAnsi="Arial" w:cs="Arial"/>
        </w:rPr>
      </w:pPr>
    </w:p>
    <w:p w:rsidR="004F4992" w:rsidRDefault="004F4992" w:rsidP="00C261CC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 xml:space="preserve">Wdrożenie całości infrastruktury: </w:t>
      </w:r>
    </w:p>
    <w:p w:rsidR="004F4992" w:rsidRDefault="004F4992" w:rsidP="008559DF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4F4992">
        <w:rPr>
          <w:rFonts w:ascii="Arial" w:hAnsi="Arial" w:cs="Arial"/>
          <w:b/>
          <w:sz w:val="18"/>
          <w:szCs w:val="18"/>
        </w:rPr>
        <w:t>1.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4F4992">
        <w:rPr>
          <w:rFonts w:ascii="Arial" w:hAnsi="Arial" w:cs="Arial"/>
          <w:b/>
          <w:sz w:val="18"/>
          <w:szCs w:val="18"/>
        </w:rPr>
        <w:t xml:space="preserve">Wykonawca dostarczy Przedmiot zamówienia do siedziby Zamawiającego w terminie </w:t>
      </w:r>
      <w:proofErr w:type="spellStart"/>
      <w:r w:rsidR="00DD6899">
        <w:rPr>
          <w:rFonts w:ascii="Arial" w:hAnsi="Arial" w:cs="Arial"/>
          <w:b/>
          <w:sz w:val="18"/>
          <w:szCs w:val="18"/>
        </w:rPr>
        <w:t>max</w:t>
      </w:r>
      <w:proofErr w:type="spellEnd"/>
      <w:r w:rsidR="00DD6899">
        <w:rPr>
          <w:rFonts w:ascii="Arial" w:hAnsi="Arial" w:cs="Arial"/>
          <w:b/>
          <w:sz w:val="18"/>
          <w:szCs w:val="18"/>
        </w:rPr>
        <w:t>. 60</w:t>
      </w:r>
      <w:r w:rsidRPr="004F4992">
        <w:rPr>
          <w:rFonts w:ascii="Arial" w:hAnsi="Arial" w:cs="Arial"/>
          <w:b/>
          <w:sz w:val="18"/>
          <w:szCs w:val="18"/>
        </w:rPr>
        <w:t xml:space="preserve"> dni  licząc od dnia zawarcia umowy.</w:t>
      </w:r>
    </w:p>
    <w:p w:rsidR="008559DF" w:rsidRPr="004F4992" w:rsidRDefault="008559DF" w:rsidP="008559DF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4F4992" w:rsidRDefault="004F4992" w:rsidP="008559DF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4F4992">
        <w:rPr>
          <w:rFonts w:ascii="Arial" w:hAnsi="Arial" w:cs="Arial"/>
          <w:b/>
          <w:sz w:val="18"/>
          <w:szCs w:val="18"/>
        </w:rPr>
        <w:t>2.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4F4992">
        <w:rPr>
          <w:rFonts w:ascii="Arial" w:hAnsi="Arial" w:cs="Arial"/>
          <w:b/>
          <w:sz w:val="18"/>
          <w:szCs w:val="18"/>
        </w:rPr>
        <w:t xml:space="preserve">Wdrożenie przedmiotu zamówienia zakupionego w ramach niniejszej umowy zakończy się do </w:t>
      </w:r>
      <w:r w:rsidR="00DD6899">
        <w:rPr>
          <w:rFonts w:ascii="Arial" w:hAnsi="Arial" w:cs="Arial"/>
          <w:b/>
          <w:sz w:val="18"/>
          <w:szCs w:val="18"/>
        </w:rPr>
        <w:t xml:space="preserve">20 dni </w:t>
      </w:r>
      <w:r w:rsidRPr="004F4992">
        <w:rPr>
          <w:rFonts w:ascii="Arial" w:hAnsi="Arial" w:cs="Arial"/>
          <w:b/>
          <w:sz w:val="18"/>
          <w:szCs w:val="18"/>
        </w:rPr>
        <w:t>od daty podpisania protokołu odbioru</w:t>
      </w:r>
      <w:r w:rsidR="00DD6899">
        <w:rPr>
          <w:rFonts w:ascii="Arial" w:hAnsi="Arial" w:cs="Arial"/>
          <w:b/>
          <w:sz w:val="18"/>
          <w:szCs w:val="18"/>
        </w:rPr>
        <w:t>.</w:t>
      </w:r>
    </w:p>
    <w:p w:rsidR="008559DF" w:rsidRDefault="008559DF" w:rsidP="008559DF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4F4992" w:rsidRPr="00340FFD" w:rsidRDefault="004F4992">
      <w:pPr>
        <w:pStyle w:val="Akapitzlist"/>
        <w:numPr>
          <w:ilvl w:val="0"/>
          <w:numId w:val="28"/>
        </w:numPr>
        <w:spacing w:after="0" w:line="360" w:lineRule="auto"/>
        <w:ind w:left="284" w:hanging="294"/>
        <w:jc w:val="both"/>
        <w:rPr>
          <w:rFonts w:ascii="Arial" w:hAnsi="Arial" w:cs="Arial"/>
          <w:b/>
          <w:sz w:val="18"/>
          <w:szCs w:val="18"/>
        </w:rPr>
      </w:pPr>
      <w:proofErr w:type="spellStart"/>
      <w:r w:rsidRPr="00340FFD">
        <w:rPr>
          <w:rFonts w:ascii="Arial" w:hAnsi="Arial" w:cs="Arial"/>
          <w:b/>
          <w:sz w:val="18"/>
          <w:szCs w:val="18"/>
        </w:rPr>
        <w:t>Przygotowanie</w:t>
      </w:r>
      <w:proofErr w:type="spellEnd"/>
      <w:r w:rsidR="008559DF" w:rsidRPr="00340FF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8559DF" w:rsidRPr="00340FFD">
        <w:rPr>
          <w:rFonts w:ascii="Arial" w:hAnsi="Arial" w:cs="Arial"/>
          <w:b/>
          <w:sz w:val="18"/>
          <w:szCs w:val="18"/>
        </w:rPr>
        <w:t>całości</w:t>
      </w:r>
      <w:proofErr w:type="spellEnd"/>
      <w:r w:rsidRPr="00340FF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340FFD">
        <w:rPr>
          <w:rFonts w:ascii="Arial" w:hAnsi="Arial" w:cs="Arial"/>
          <w:b/>
          <w:sz w:val="18"/>
          <w:szCs w:val="18"/>
        </w:rPr>
        <w:t>koncepcji</w:t>
      </w:r>
      <w:proofErr w:type="spellEnd"/>
      <w:r w:rsidRPr="00340FF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340FFD">
        <w:rPr>
          <w:rFonts w:ascii="Arial" w:hAnsi="Arial" w:cs="Arial"/>
          <w:b/>
          <w:sz w:val="18"/>
          <w:szCs w:val="18"/>
        </w:rPr>
        <w:t>wdrożenia</w:t>
      </w:r>
      <w:proofErr w:type="spellEnd"/>
      <w:r w:rsidRPr="00340FFD">
        <w:rPr>
          <w:rFonts w:ascii="Arial" w:hAnsi="Arial" w:cs="Arial"/>
          <w:b/>
          <w:sz w:val="18"/>
          <w:szCs w:val="18"/>
        </w:rPr>
        <w:t xml:space="preserve"> wszystkich elementów w terminie 3 dni roboczych (z uwzględnieniem dobrych praktyk producentów oferowanych rozwiązań oraz po otrzymaniu wytycznych od Zamawiającego)</w:t>
      </w:r>
    </w:p>
    <w:p w:rsidR="00340FFD" w:rsidRPr="00340FFD" w:rsidRDefault="00340FFD">
      <w:pPr>
        <w:pStyle w:val="Zwykytekst"/>
        <w:numPr>
          <w:ilvl w:val="0"/>
          <w:numId w:val="28"/>
        </w:numPr>
        <w:ind w:left="284" w:hanging="294"/>
        <w:rPr>
          <w:rFonts w:ascii="Arial" w:hAnsi="Arial" w:cs="Arial"/>
          <w:sz w:val="18"/>
          <w:szCs w:val="18"/>
        </w:rPr>
      </w:pPr>
      <w:bookmarkStart w:id="9" w:name="_Hlk113452860"/>
      <w:r w:rsidRPr="00340FFD">
        <w:rPr>
          <w:rFonts w:ascii="Arial" w:hAnsi="Arial" w:cs="Arial"/>
          <w:sz w:val="18"/>
          <w:szCs w:val="18"/>
        </w:rPr>
        <w:t>Wykonawca zapewni osoby zdolne do wykonywania zamówienia oraz zapewni ich bezpośredni udział w realizacji zamówienia w tym:</w:t>
      </w:r>
    </w:p>
    <w:p w:rsidR="00340FFD" w:rsidRPr="00340FFD" w:rsidRDefault="00340FFD" w:rsidP="00340FFD">
      <w:pPr>
        <w:pStyle w:val="Zwykytekst"/>
        <w:rPr>
          <w:rFonts w:ascii="Arial" w:hAnsi="Arial" w:cs="Arial"/>
          <w:sz w:val="18"/>
          <w:szCs w:val="18"/>
        </w:rPr>
      </w:pPr>
    </w:p>
    <w:p w:rsidR="00340FFD" w:rsidRPr="00340FFD" w:rsidRDefault="00340FFD">
      <w:pPr>
        <w:pStyle w:val="Zwykytekst"/>
        <w:numPr>
          <w:ilvl w:val="0"/>
          <w:numId w:val="30"/>
        </w:numPr>
        <w:rPr>
          <w:rFonts w:ascii="Arial" w:hAnsi="Arial" w:cs="Arial"/>
          <w:sz w:val="18"/>
          <w:szCs w:val="18"/>
        </w:rPr>
      </w:pPr>
      <w:r w:rsidRPr="00340FFD">
        <w:rPr>
          <w:rFonts w:ascii="Arial" w:hAnsi="Arial" w:cs="Arial"/>
          <w:sz w:val="18"/>
          <w:szCs w:val="18"/>
        </w:rPr>
        <w:t>Co najmniej jedna osobę pełniącą role Kierownika projektu świadczonych na rzecz Zamawiającego.</w:t>
      </w:r>
    </w:p>
    <w:p w:rsidR="00340FFD" w:rsidRPr="00340FFD" w:rsidRDefault="00340FFD" w:rsidP="00340FFD">
      <w:pPr>
        <w:pStyle w:val="Zwykytekst"/>
        <w:rPr>
          <w:rFonts w:ascii="Arial" w:hAnsi="Arial" w:cs="Arial"/>
          <w:sz w:val="18"/>
          <w:szCs w:val="18"/>
        </w:rPr>
      </w:pPr>
    </w:p>
    <w:p w:rsidR="00340FFD" w:rsidRPr="00C2669C" w:rsidRDefault="00340FFD">
      <w:pPr>
        <w:pStyle w:val="Zwykytekst"/>
        <w:numPr>
          <w:ilvl w:val="0"/>
          <w:numId w:val="30"/>
        </w:numPr>
        <w:rPr>
          <w:rFonts w:ascii="Arial" w:hAnsi="Arial" w:cs="Arial"/>
          <w:sz w:val="18"/>
          <w:szCs w:val="18"/>
        </w:rPr>
      </w:pPr>
      <w:r w:rsidRPr="00340FFD">
        <w:rPr>
          <w:rFonts w:ascii="Arial" w:hAnsi="Arial" w:cs="Arial"/>
          <w:sz w:val="18"/>
          <w:szCs w:val="18"/>
        </w:rPr>
        <w:t>Co najmniej jedną osobę pełniącą role inżyniera wdrożenia (</w:t>
      </w:r>
      <w:proofErr w:type="spellStart"/>
      <w:r w:rsidRPr="00340FFD">
        <w:rPr>
          <w:rFonts w:ascii="Arial" w:hAnsi="Arial" w:cs="Arial"/>
          <w:sz w:val="18"/>
          <w:szCs w:val="18"/>
        </w:rPr>
        <w:t>veeam</w:t>
      </w:r>
      <w:proofErr w:type="spellEnd"/>
      <w:r w:rsidRPr="00340FFD">
        <w:rPr>
          <w:rFonts w:ascii="Arial" w:hAnsi="Arial" w:cs="Arial"/>
          <w:sz w:val="18"/>
          <w:szCs w:val="18"/>
        </w:rPr>
        <w:t>,</w:t>
      </w:r>
      <w:r w:rsidR="00C2669C">
        <w:rPr>
          <w:rFonts w:ascii="Arial" w:hAnsi="Arial" w:cs="Arial"/>
          <w:sz w:val="18"/>
          <w:szCs w:val="18"/>
        </w:rPr>
        <w:t xml:space="preserve"> </w:t>
      </w:r>
      <w:r w:rsidRPr="00C2669C">
        <w:rPr>
          <w:rFonts w:ascii="Arial" w:hAnsi="Arial" w:cs="Arial"/>
          <w:sz w:val="18"/>
          <w:szCs w:val="18"/>
        </w:rPr>
        <w:t>UTM) posiadającą wiedzę z zakresu dostarczonego systemu (</w:t>
      </w:r>
      <w:proofErr w:type="spellStart"/>
      <w:r w:rsidRPr="00C2669C">
        <w:rPr>
          <w:rFonts w:ascii="Arial" w:hAnsi="Arial" w:cs="Arial"/>
          <w:sz w:val="18"/>
          <w:szCs w:val="18"/>
        </w:rPr>
        <w:t>veeam</w:t>
      </w:r>
      <w:proofErr w:type="spellEnd"/>
      <w:r w:rsidRPr="00C2669C">
        <w:rPr>
          <w:rFonts w:ascii="Arial" w:hAnsi="Arial" w:cs="Arial"/>
          <w:sz w:val="18"/>
          <w:szCs w:val="18"/>
        </w:rPr>
        <w:t xml:space="preserve">, UTM) potwierdzoną certyfikatem technicznym </w:t>
      </w:r>
      <w:proofErr w:type="spellStart"/>
      <w:r w:rsidRPr="00C2669C">
        <w:rPr>
          <w:rFonts w:ascii="Arial" w:hAnsi="Arial" w:cs="Arial"/>
          <w:sz w:val="18"/>
          <w:szCs w:val="18"/>
        </w:rPr>
        <w:t>ew</w:t>
      </w:r>
      <w:proofErr w:type="spellEnd"/>
      <w:r w:rsidRPr="00C2669C">
        <w:rPr>
          <w:rFonts w:ascii="Arial" w:hAnsi="Arial" w:cs="Arial"/>
          <w:sz w:val="18"/>
          <w:szCs w:val="18"/>
        </w:rPr>
        <w:t xml:space="preserve"> wdrożeniowym producenta dla danego produktu.</w:t>
      </w:r>
    </w:p>
    <w:p w:rsidR="00340FFD" w:rsidRPr="00340FFD" w:rsidRDefault="00340FFD" w:rsidP="00340FFD">
      <w:pPr>
        <w:pStyle w:val="Zwykytekst"/>
        <w:rPr>
          <w:rFonts w:ascii="Arial" w:hAnsi="Arial" w:cs="Arial"/>
          <w:sz w:val="18"/>
          <w:szCs w:val="18"/>
        </w:rPr>
      </w:pPr>
    </w:p>
    <w:p w:rsidR="00340FFD" w:rsidRPr="00340FFD" w:rsidRDefault="00340FFD">
      <w:pPr>
        <w:pStyle w:val="Zwykytekst"/>
        <w:numPr>
          <w:ilvl w:val="0"/>
          <w:numId w:val="30"/>
        </w:numPr>
        <w:rPr>
          <w:rFonts w:ascii="Arial" w:hAnsi="Arial" w:cs="Arial"/>
          <w:sz w:val="18"/>
          <w:szCs w:val="18"/>
        </w:rPr>
      </w:pPr>
      <w:r w:rsidRPr="00340FFD">
        <w:rPr>
          <w:rFonts w:ascii="Arial" w:hAnsi="Arial" w:cs="Arial"/>
          <w:sz w:val="18"/>
          <w:szCs w:val="18"/>
        </w:rPr>
        <w:t>Certyfikaty należy przedstawić zamawiającemu przed podpisaniem umowy.</w:t>
      </w:r>
    </w:p>
    <w:bookmarkEnd w:id="9"/>
    <w:p w:rsidR="004F4992" w:rsidRPr="004F4992" w:rsidRDefault="004F4992" w:rsidP="004F4992">
      <w:pPr>
        <w:jc w:val="both"/>
        <w:rPr>
          <w:rFonts w:ascii="Arial" w:hAnsi="Arial" w:cs="Arial"/>
          <w:b/>
          <w:sz w:val="18"/>
          <w:szCs w:val="18"/>
        </w:rPr>
      </w:pPr>
    </w:p>
    <w:p w:rsidR="00C261CC" w:rsidRPr="001E4C76" w:rsidRDefault="00C261CC" w:rsidP="00C261CC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E4C76">
        <w:rPr>
          <w:rFonts w:ascii="Arial" w:hAnsi="Arial" w:cs="Arial"/>
          <w:b/>
          <w:sz w:val="18"/>
          <w:szCs w:val="18"/>
          <w:u w:val="single"/>
        </w:rPr>
        <w:t>Wdrożenie sprzętu serwerowego składające się z następujących elementów:</w:t>
      </w:r>
    </w:p>
    <w:p w:rsidR="00C261CC" w:rsidRPr="001E4C76" w:rsidRDefault="00C261CC">
      <w:pPr>
        <w:numPr>
          <w:ilvl w:val="0"/>
          <w:numId w:val="1"/>
        </w:numPr>
        <w:ind w:left="284" w:hanging="284"/>
        <w:contextualSpacing/>
        <w:jc w:val="both"/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Przygotowanie koncepcji wdrożenia wszystkich elementów (z uwzględnieniem dobrych praktyk producentów oferowanych rozwiązań oraz po otrzymaniu wytycznych od Zamawiającego)</w:t>
      </w:r>
    </w:p>
    <w:p w:rsidR="00C261CC" w:rsidRPr="001E4C76" w:rsidRDefault="00C261CC">
      <w:pPr>
        <w:numPr>
          <w:ilvl w:val="0"/>
          <w:numId w:val="1"/>
        </w:numPr>
        <w:ind w:left="284" w:hanging="284"/>
        <w:contextualSpacing/>
        <w:jc w:val="both"/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Instalacja fizyczna sprzętu wraz z okablowaniem i integracją z infrastrukturą Zamawiającego</w:t>
      </w:r>
    </w:p>
    <w:p w:rsidR="00C261CC" w:rsidRPr="001E4C76" w:rsidRDefault="00C261CC">
      <w:pPr>
        <w:numPr>
          <w:ilvl w:val="0"/>
          <w:numId w:val="1"/>
        </w:numPr>
        <w:ind w:left="284" w:hanging="284"/>
        <w:contextualSpacing/>
        <w:jc w:val="both"/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Instalacja i konfiguracja oprogramowania systemowego</w:t>
      </w:r>
    </w:p>
    <w:p w:rsidR="00C261CC" w:rsidRPr="001E4C76" w:rsidRDefault="00C261CC">
      <w:pPr>
        <w:numPr>
          <w:ilvl w:val="0"/>
          <w:numId w:val="1"/>
        </w:numPr>
        <w:ind w:left="284" w:hanging="284"/>
        <w:contextualSpacing/>
        <w:jc w:val="both"/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Instalacja i konfiguracja oprogramowania do wykonywania kopii zapasowych</w:t>
      </w:r>
    </w:p>
    <w:p w:rsidR="00C261CC" w:rsidRPr="001E4C76" w:rsidRDefault="00C261CC">
      <w:pPr>
        <w:numPr>
          <w:ilvl w:val="0"/>
          <w:numId w:val="1"/>
        </w:numPr>
        <w:ind w:left="284" w:hanging="284"/>
        <w:contextualSpacing/>
        <w:jc w:val="both"/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lastRenderedPageBreak/>
        <w:t>Integracja oprogramowania do wykonywania kopii zapasowych z posiadanym przez Zamawiającego środowiskiem wirtualizacji oraz utworzenie zadań backupu</w:t>
      </w:r>
    </w:p>
    <w:p w:rsidR="00C261CC" w:rsidRPr="001E4C76" w:rsidRDefault="00C261CC">
      <w:pPr>
        <w:numPr>
          <w:ilvl w:val="0"/>
          <w:numId w:val="1"/>
        </w:numPr>
        <w:ind w:left="284" w:hanging="284"/>
        <w:contextualSpacing/>
        <w:jc w:val="both"/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Testy backupu oraz odtwarzania</w:t>
      </w:r>
    </w:p>
    <w:p w:rsidR="00C261CC" w:rsidRPr="001E4C76" w:rsidRDefault="00C261CC">
      <w:pPr>
        <w:numPr>
          <w:ilvl w:val="0"/>
          <w:numId w:val="1"/>
        </w:numPr>
        <w:ind w:left="284" w:hanging="284"/>
        <w:contextualSpacing/>
        <w:jc w:val="both"/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Dokumentacja powdrożeniowa</w:t>
      </w:r>
    </w:p>
    <w:p w:rsidR="00C261CC" w:rsidRPr="001E4C76" w:rsidRDefault="00C261CC">
      <w:pPr>
        <w:numPr>
          <w:ilvl w:val="0"/>
          <w:numId w:val="1"/>
        </w:numPr>
        <w:ind w:left="284" w:hanging="284"/>
        <w:contextualSpacing/>
        <w:jc w:val="both"/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Instruktaż stanowiskowy</w:t>
      </w:r>
    </w:p>
    <w:p w:rsidR="00C261CC" w:rsidRPr="001E4C76" w:rsidRDefault="00C261CC" w:rsidP="00C261CC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C261CC" w:rsidRPr="001E4C76" w:rsidRDefault="00C261CC" w:rsidP="00C261CC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E4C76">
        <w:rPr>
          <w:rFonts w:ascii="Arial" w:hAnsi="Arial" w:cs="Arial"/>
          <w:b/>
          <w:sz w:val="18"/>
          <w:szCs w:val="18"/>
          <w:u w:val="single"/>
        </w:rPr>
        <w:t>Wdrożenie zapory ogniowej będzie obejmowało co najmniej: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Przygotowanie zasad tworzenia reguł zapory ogniowej do komunikacji z Internetem, uwzględniając konfigurację obecnie posiadanej przez Zamawiającego zapory ogniowej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Aktualizacja oprogramowania urządzeń do najnowszej wersji stabilnej, zalecanej przez producenta,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Instalacja urządzenia w szafach dystrybucyjnych, podłączenie okablowania i uruchomienie komunikacji w sieci LAN oraz na styku z Internetem,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Konfiguracja środowiska zarządzania w szczególności: ustawienie wszystkich parametrów związanych z adresacją i routingiem IP, ograniczenie zdalnego dostępu do urządzeń, konfiguracja autentykacji użytkowników, zapewnienie możliwości zarządzania poprzez protokoły SSH i HTTPS,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Stworzenie klastra pomiędzy zaporami ogniowymi,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 xml:space="preserve">Konfiguracja reguł zabezpieczeń komunikacji pomiędzy sieciami zgodnie z przygotowanymi zasadami tworzenia reguł zapory ogniowej, ze szczególnym naciskiem konfiguracji listy aplikacji i stron WWW dopuszczonych i zabronionych dla użytkowników, 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Konfiguracja zabezpieczeń przez programami typu Peer to Peer,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Ograniczenie możliwości korzystania z poszczególnych funkcjonalności ogólnie dostępnych portali „społecznościowych”,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Konfiguracja inspekcji ruchu pod katem programów złośliwych, wirusów itp.,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Konfiguracja mechanizmów zabezpieczających przed znanymi atakami w sieci typu DoS,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Konfiguracja zdalnego dostępu VPN dla użytkowników zdalnych z wykorzystaniem dedykowanego oprogramowania klienckiego,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Konfiguracja systemu raportowania oraz rejestru zdarzeń,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Testy poprawności konfiguracji,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Przygotowanie instrukcji wykonywania kopii konfiguracji urządzenia i odtwarzania w przypadku awarii,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Przeprowadzenie szkolenia z zakresu administracji zaporą ogniową.</w:t>
      </w:r>
    </w:p>
    <w:p w:rsidR="00C261CC" w:rsidRPr="001E4C76" w:rsidRDefault="00C261CC">
      <w:pPr>
        <w:pStyle w:val="Akapitzlist"/>
        <w:numPr>
          <w:ilvl w:val="0"/>
          <w:numId w:val="2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Wdrożenie musi zostać przeprowadzone w siedzibie Zamawiającego</w:t>
      </w:r>
    </w:p>
    <w:p w:rsidR="00C261CC" w:rsidRPr="001E4C76" w:rsidRDefault="00C261CC" w:rsidP="00C261CC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C261CC" w:rsidRPr="001E4C76" w:rsidRDefault="00C261CC" w:rsidP="00C261CC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E4C76">
        <w:rPr>
          <w:rFonts w:ascii="Arial" w:hAnsi="Arial" w:cs="Arial"/>
          <w:b/>
          <w:sz w:val="18"/>
          <w:szCs w:val="18"/>
          <w:u w:val="single"/>
        </w:rPr>
        <w:t>Zakres podłączenia przełączników LAN będzie obejmował co najmniej:</w:t>
      </w:r>
    </w:p>
    <w:p w:rsidR="00C261CC" w:rsidRPr="001E4C76" w:rsidRDefault="00C261CC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Aktualizacja oprogramowania nowo dostarczanych przełączników serwerowych do najnowszej wersji stabilnej, zalecanej przez producenta,</w:t>
      </w:r>
    </w:p>
    <w:p w:rsidR="00C261CC" w:rsidRPr="001E4C76" w:rsidRDefault="00C261CC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Podłączenie obecnie posiadanych przez Zamawiającego przełączników do nowo dostarczonych przełączników serwerowych,</w:t>
      </w:r>
    </w:p>
    <w:p w:rsidR="00C261CC" w:rsidRPr="001E4C76" w:rsidRDefault="00C261CC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Konfiguracja środowiska zarządzania w szczególności: ustawienie wszystkich parametrów związanych z adresacją i routingiem IP, ograniczenie zdalnego dostępu do urządzeń, konfiguracja autentykacji użytkowników, zapewnienie możliwości zarządzania poprzez protokoły SSH i HTTPS</w:t>
      </w:r>
    </w:p>
    <w:p w:rsidR="00C261CC" w:rsidRPr="001E4C76" w:rsidRDefault="00C261CC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Konfiguracja wirtualnych sieci lokalnych (VLAN) z uwzględnienie obecnie posiadanych przez Zamawiającego,</w:t>
      </w:r>
    </w:p>
    <w:p w:rsidR="00C261CC" w:rsidRPr="001E4C76" w:rsidRDefault="00C261CC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Konfiguracja protokołu STP (Spanning Tree Protocol),</w:t>
      </w:r>
    </w:p>
    <w:p w:rsidR="00C261CC" w:rsidRPr="001E4C76" w:rsidRDefault="00C261CC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Optymalizacja protokołu STP oraz czasów zbieżności sieci w przypadku awarii jednego z redundantnych linków lub wystąpienia pętli,</w:t>
      </w:r>
    </w:p>
    <w:p w:rsidR="00C261CC" w:rsidRPr="001E4C76" w:rsidRDefault="00C261CC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Ujednolicenie konfiguracji przełączników dostępowych pod kontem połączeń uplinkowych</w:t>
      </w:r>
    </w:p>
    <w:p w:rsidR="00C261CC" w:rsidRPr="001E4C76" w:rsidRDefault="00C261CC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Testy poprawności konfiguracji,</w:t>
      </w:r>
    </w:p>
    <w:p w:rsidR="00C261CC" w:rsidRPr="001E4C76" w:rsidRDefault="00C261CC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Przygotowanie instrukcji wykonywania kopii konfiguracji urządzeń i odtwarzania w przypadku awarii,</w:t>
      </w:r>
    </w:p>
    <w:p w:rsidR="00C261CC" w:rsidRPr="001E4C76" w:rsidRDefault="00C261CC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  <w:lang w:val="pl-PL"/>
        </w:rPr>
      </w:pPr>
      <w:r w:rsidRPr="001E4C76">
        <w:rPr>
          <w:rFonts w:ascii="Arial" w:hAnsi="Arial" w:cs="Arial"/>
          <w:sz w:val="18"/>
          <w:szCs w:val="18"/>
          <w:lang w:val="pl-PL"/>
        </w:rPr>
        <w:t>Przeprowadzenie szkolenia z zakresu administracji przełącznikami sieci LAN.</w:t>
      </w:r>
    </w:p>
    <w:p w:rsidR="00C261CC" w:rsidRPr="001E4C76" w:rsidRDefault="00C261CC" w:rsidP="00C261CC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C261CC" w:rsidRDefault="00C261CC" w:rsidP="001E4C76">
      <w:pPr>
        <w:jc w:val="both"/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Wykonawca przeprowadzi ponadto instruktaż stanowiskowy obejmujący swoim zakresem całość dostarczanego sprzętu i oprogramowania w ilości 10 dni roboczych, realizowanych w siedzibie Zamawiającego.</w:t>
      </w:r>
    </w:p>
    <w:p w:rsidR="001E4C76" w:rsidRPr="001E4C76" w:rsidRDefault="001E4C76" w:rsidP="001E4C76">
      <w:pPr>
        <w:jc w:val="both"/>
        <w:rPr>
          <w:rFonts w:ascii="Arial" w:hAnsi="Arial" w:cs="Arial"/>
          <w:sz w:val="18"/>
          <w:szCs w:val="18"/>
        </w:rPr>
      </w:pPr>
    </w:p>
    <w:p w:rsidR="00C261CC" w:rsidRPr="00155957" w:rsidRDefault="000F236C" w:rsidP="00155957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55957">
        <w:rPr>
          <w:rFonts w:ascii="Arial" w:hAnsi="Arial" w:cs="Arial"/>
          <w:b/>
          <w:bCs/>
          <w:sz w:val="24"/>
          <w:szCs w:val="24"/>
          <w:u w:val="single"/>
        </w:rPr>
        <w:t>Montaż szafy rack</w:t>
      </w:r>
    </w:p>
    <w:p w:rsidR="001E4C76" w:rsidRPr="001E4C76" w:rsidRDefault="001E4C76" w:rsidP="001E4C76">
      <w:pPr>
        <w:pStyle w:val="Akapitzlist"/>
        <w:rPr>
          <w:rFonts w:ascii="Arial" w:hAnsi="Arial" w:cs="Arial"/>
          <w:b/>
          <w:bCs/>
          <w:sz w:val="18"/>
          <w:szCs w:val="18"/>
          <w:u w:val="single"/>
          <w:lang w:val="pl-PL"/>
        </w:rPr>
      </w:pPr>
    </w:p>
    <w:p w:rsidR="006D24EA" w:rsidRPr="001E4C76" w:rsidRDefault="006D24EA" w:rsidP="00A77946">
      <w:pPr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Wdrożenie będzie wykonywane w pomieszczeniu wskazanym przez Zamawiającego w dni robocze w godzinach 9-14.</w:t>
      </w:r>
    </w:p>
    <w:p w:rsidR="006D24EA" w:rsidRPr="001E4C76" w:rsidRDefault="006D24EA" w:rsidP="00A77946">
      <w:pPr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Zakładany czas wdrożenia – 20 dni roboczych</w:t>
      </w:r>
    </w:p>
    <w:p w:rsidR="000F236C" w:rsidRPr="001E4C76" w:rsidRDefault="000F236C" w:rsidP="00A77946">
      <w:pPr>
        <w:rPr>
          <w:rFonts w:ascii="Arial" w:hAnsi="Arial" w:cs="Arial"/>
          <w:sz w:val="18"/>
          <w:szCs w:val="18"/>
        </w:rPr>
      </w:pPr>
    </w:p>
    <w:p w:rsidR="000F236C" w:rsidRPr="001E4C76" w:rsidRDefault="000F236C" w:rsidP="00A77946">
      <w:pPr>
        <w:rPr>
          <w:rFonts w:ascii="Arial" w:hAnsi="Arial" w:cs="Arial"/>
          <w:sz w:val="18"/>
          <w:szCs w:val="18"/>
        </w:rPr>
      </w:pPr>
      <w:r w:rsidRPr="001E4C76">
        <w:rPr>
          <w:rFonts w:ascii="Arial" w:hAnsi="Arial" w:cs="Arial"/>
          <w:sz w:val="18"/>
          <w:szCs w:val="18"/>
        </w:rPr>
        <w:t>Wdrażający powinien dysponować osobami posiadającymi kompetencje i praktykę do wykonywania zamówienia oraz zapewni ich bezpośredni udział w realizacji zamówienia</w:t>
      </w:r>
      <w:r w:rsidR="00DF0794" w:rsidRPr="001E4C76">
        <w:rPr>
          <w:rFonts w:ascii="Arial" w:hAnsi="Arial" w:cs="Arial"/>
          <w:sz w:val="18"/>
          <w:szCs w:val="18"/>
        </w:rPr>
        <w:t xml:space="preserve"> – co najmniej jedna osoba pełniąca role kierownika projektu, która posiada certyfikat PRINCE2 lub równoważny oraz co najmniej jedną osobę pełniąca role inżyniera posiadająca wiedzę z zakresu backup potwierdzoną certyfikatem technicznym</w:t>
      </w:r>
    </w:p>
    <w:sectPr w:rsidR="000F236C" w:rsidRPr="001E4C76" w:rsidSect="00ED28FF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A46" w:rsidRDefault="00671A46" w:rsidP="005A766D">
      <w:pPr>
        <w:spacing w:after="0" w:line="240" w:lineRule="auto"/>
      </w:pPr>
      <w:r>
        <w:separator/>
      </w:r>
    </w:p>
  </w:endnote>
  <w:endnote w:type="continuationSeparator" w:id="0">
    <w:p w:rsidR="00671A46" w:rsidRDefault="00671A46" w:rsidP="005A7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 Condensed">
    <w:panose1 w:val="020B0606030804020204"/>
    <w:charset w:val="EE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9734271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:rsidR="00570BA4" w:rsidRDefault="00570BA4">
            <w:pPr>
              <w:pStyle w:val="Stopka"/>
            </w:pPr>
            <w:r>
              <w:rPr>
                <w:lang w:val="pl-PL"/>
              </w:rPr>
              <w:t xml:space="preserve">Strona </w:t>
            </w:r>
            <w:r w:rsidR="006854A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6854AB">
              <w:rPr>
                <w:b/>
                <w:bCs/>
                <w:sz w:val="24"/>
                <w:szCs w:val="24"/>
              </w:rPr>
              <w:fldChar w:fldCharType="separate"/>
            </w:r>
            <w:r w:rsidR="00DD6899">
              <w:rPr>
                <w:b/>
                <w:bCs/>
                <w:noProof/>
              </w:rPr>
              <w:t>15</w:t>
            </w:r>
            <w:r w:rsidR="006854AB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 w:rsidR="006854A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6854AB">
              <w:rPr>
                <w:b/>
                <w:bCs/>
                <w:sz w:val="24"/>
                <w:szCs w:val="24"/>
              </w:rPr>
              <w:fldChar w:fldCharType="separate"/>
            </w:r>
            <w:r w:rsidR="00DD6899">
              <w:rPr>
                <w:b/>
                <w:bCs/>
                <w:noProof/>
              </w:rPr>
              <w:t>16</w:t>
            </w:r>
            <w:r w:rsidR="006854AB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70BA4" w:rsidRDefault="00570B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A46" w:rsidRDefault="00671A46" w:rsidP="005A766D">
      <w:pPr>
        <w:spacing w:after="0" w:line="240" w:lineRule="auto"/>
      </w:pPr>
      <w:r>
        <w:separator/>
      </w:r>
    </w:p>
  </w:footnote>
  <w:footnote w:type="continuationSeparator" w:id="0">
    <w:p w:rsidR="00671A46" w:rsidRDefault="00671A46" w:rsidP="005A7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0A60"/>
    <w:multiLevelType w:val="hybridMultilevel"/>
    <w:tmpl w:val="64DCA168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6226FF4"/>
    <w:multiLevelType w:val="hybridMultilevel"/>
    <w:tmpl w:val="289090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81804"/>
    <w:multiLevelType w:val="hybridMultilevel"/>
    <w:tmpl w:val="2CDC445A"/>
    <w:lvl w:ilvl="0" w:tplc="E21C021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DF5CC8"/>
    <w:multiLevelType w:val="hybridMultilevel"/>
    <w:tmpl w:val="88A8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03C84"/>
    <w:multiLevelType w:val="hybridMultilevel"/>
    <w:tmpl w:val="A5EE4D12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BB3E68"/>
    <w:multiLevelType w:val="hybridMultilevel"/>
    <w:tmpl w:val="E92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E6999"/>
    <w:multiLevelType w:val="hybridMultilevel"/>
    <w:tmpl w:val="ED961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172C5"/>
    <w:multiLevelType w:val="hybridMultilevel"/>
    <w:tmpl w:val="A4668542"/>
    <w:lvl w:ilvl="0" w:tplc="FFFFFFFF">
      <w:start w:val="1"/>
      <w:numFmt w:val="decimal"/>
      <w:lvlText w:val="%1."/>
      <w:lvlJc w:val="left"/>
      <w:pPr>
        <w:ind w:left="1068" w:hanging="360"/>
      </w:pPr>
      <w:rPr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78B3076"/>
    <w:multiLevelType w:val="hybridMultilevel"/>
    <w:tmpl w:val="D5F4A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90CB3"/>
    <w:multiLevelType w:val="hybridMultilevel"/>
    <w:tmpl w:val="0BF2B02A"/>
    <w:lvl w:ilvl="0" w:tplc="B5AC222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C14AA"/>
    <w:multiLevelType w:val="hybridMultilevel"/>
    <w:tmpl w:val="056687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F448BC"/>
    <w:multiLevelType w:val="hybridMultilevel"/>
    <w:tmpl w:val="A3543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66558"/>
    <w:multiLevelType w:val="hybridMultilevel"/>
    <w:tmpl w:val="3E4C5D7A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7870FB"/>
    <w:multiLevelType w:val="hybridMultilevel"/>
    <w:tmpl w:val="A2B6CC14"/>
    <w:lvl w:ilvl="0" w:tplc="EB5E1C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F654A1"/>
    <w:multiLevelType w:val="hybridMultilevel"/>
    <w:tmpl w:val="279E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B86189"/>
    <w:multiLevelType w:val="hybridMultilevel"/>
    <w:tmpl w:val="1DAA6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7A682B"/>
    <w:multiLevelType w:val="hybridMultilevel"/>
    <w:tmpl w:val="87D0D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433FB9"/>
    <w:multiLevelType w:val="hybridMultilevel"/>
    <w:tmpl w:val="A9047F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184926"/>
    <w:multiLevelType w:val="hybridMultilevel"/>
    <w:tmpl w:val="85AEF1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F688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5348C"/>
    <w:multiLevelType w:val="hybridMultilevel"/>
    <w:tmpl w:val="67E2DD9C"/>
    <w:lvl w:ilvl="0" w:tplc="700E54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931FE6"/>
    <w:multiLevelType w:val="hybridMultilevel"/>
    <w:tmpl w:val="73725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1D5550"/>
    <w:multiLevelType w:val="hybridMultilevel"/>
    <w:tmpl w:val="EE003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9B7771"/>
    <w:multiLevelType w:val="hybridMultilevel"/>
    <w:tmpl w:val="E5E4D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970E31"/>
    <w:multiLevelType w:val="hybridMultilevel"/>
    <w:tmpl w:val="EC18F1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066E5E"/>
    <w:multiLevelType w:val="hybridMultilevel"/>
    <w:tmpl w:val="8988A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0A61FA"/>
    <w:multiLevelType w:val="hybridMultilevel"/>
    <w:tmpl w:val="DF14B4DC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C9095A"/>
    <w:multiLevelType w:val="hybridMultilevel"/>
    <w:tmpl w:val="5AFA9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03AD1"/>
    <w:multiLevelType w:val="hybridMultilevel"/>
    <w:tmpl w:val="7D46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16764"/>
    <w:multiLevelType w:val="multilevel"/>
    <w:tmpl w:val="BD70E89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F03767D"/>
    <w:multiLevelType w:val="hybridMultilevel"/>
    <w:tmpl w:val="A936F6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8"/>
  </w:num>
  <w:num w:numId="3">
    <w:abstractNumId w:val="26"/>
  </w:num>
  <w:num w:numId="4">
    <w:abstractNumId w:val="22"/>
  </w:num>
  <w:num w:numId="5">
    <w:abstractNumId w:val="0"/>
  </w:num>
  <w:num w:numId="6">
    <w:abstractNumId w:val="5"/>
  </w:num>
  <w:num w:numId="7">
    <w:abstractNumId w:val="8"/>
  </w:num>
  <w:num w:numId="8">
    <w:abstractNumId w:val="3"/>
  </w:num>
  <w:num w:numId="9">
    <w:abstractNumId w:val="24"/>
  </w:num>
  <w:num w:numId="10">
    <w:abstractNumId w:val="11"/>
  </w:num>
  <w:num w:numId="11">
    <w:abstractNumId w:val="16"/>
  </w:num>
  <w:num w:numId="12">
    <w:abstractNumId w:val="14"/>
  </w:num>
  <w:num w:numId="13">
    <w:abstractNumId w:val="27"/>
  </w:num>
  <w:num w:numId="14">
    <w:abstractNumId w:val="21"/>
  </w:num>
  <w:num w:numId="15">
    <w:abstractNumId w:val="18"/>
  </w:num>
  <w:num w:numId="16">
    <w:abstractNumId w:val="6"/>
  </w:num>
  <w:num w:numId="17">
    <w:abstractNumId w:val="19"/>
  </w:num>
  <w:num w:numId="18">
    <w:abstractNumId w:val="20"/>
  </w:num>
  <w:num w:numId="19">
    <w:abstractNumId w:val="25"/>
  </w:num>
  <w:num w:numId="20">
    <w:abstractNumId w:val="4"/>
  </w:num>
  <w:num w:numId="21">
    <w:abstractNumId w:val="12"/>
  </w:num>
  <w:num w:numId="22">
    <w:abstractNumId w:val="17"/>
  </w:num>
  <w:num w:numId="23">
    <w:abstractNumId w:val="10"/>
  </w:num>
  <w:num w:numId="24">
    <w:abstractNumId w:val="15"/>
  </w:num>
  <w:num w:numId="25">
    <w:abstractNumId w:val="2"/>
  </w:num>
  <w:num w:numId="26">
    <w:abstractNumId w:val="13"/>
  </w:num>
  <w:num w:numId="27">
    <w:abstractNumId w:val="23"/>
  </w:num>
  <w:num w:numId="28">
    <w:abstractNumId w:val="9"/>
  </w:num>
  <w:num w:numId="29">
    <w:abstractNumId w:val="29"/>
  </w:num>
  <w:num w:numId="30">
    <w:abstractNumId w:val="7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5354"/>
    <w:rsid w:val="00000366"/>
    <w:rsid w:val="00000FF7"/>
    <w:rsid w:val="0000148B"/>
    <w:rsid w:val="000302C7"/>
    <w:rsid w:val="0003382E"/>
    <w:rsid w:val="00054FD2"/>
    <w:rsid w:val="000B28C2"/>
    <w:rsid w:val="000F170C"/>
    <w:rsid w:val="000F236C"/>
    <w:rsid w:val="001103FD"/>
    <w:rsid w:val="001165B0"/>
    <w:rsid w:val="00123DD6"/>
    <w:rsid w:val="001318C6"/>
    <w:rsid w:val="001348C7"/>
    <w:rsid w:val="001365DB"/>
    <w:rsid w:val="00155957"/>
    <w:rsid w:val="00197CD7"/>
    <w:rsid w:val="001C6FF3"/>
    <w:rsid w:val="001D073D"/>
    <w:rsid w:val="001E4C76"/>
    <w:rsid w:val="001E508D"/>
    <w:rsid w:val="00247428"/>
    <w:rsid w:val="002A55EF"/>
    <w:rsid w:val="002F7B08"/>
    <w:rsid w:val="00306D1A"/>
    <w:rsid w:val="00315354"/>
    <w:rsid w:val="00321D3C"/>
    <w:rsid w:val="00340FFD"/>
    <w:rsid w:val="00353C47"/>
    <w:rsid w:val="0039336B"/>
    <w:rsid w:val="00395C23"/>
    <w:rsid w:val="003A41DF"/>
    <w:rsid w:val="003C656E"/>
    <w:rsid w:val="003F3D86"/>
    <w:rsid w:val="00447F61"/>
    <w:rsid w:val="00467140"/>
    <w:rsid w:val="004705D8"/>
    <w:rsid w:val="00470D03"/>
    <w:rsid w:val="0047156A"/>
    <w:rsid w:val="00491D66"/>
    <w:rsid w:val="004B5E15"/>
    <w:rsid w:val="004D52A7"/>
    <w:rsid w:val="004F4992"/>
    <w:rsid w:val="00523EC9"/>
    <w:rsid w:val="00536291"/>
    <w:rsid w:val="00556ED6"/>
    <w:rsid w:val="00570BA4"/>
    <w:rsid w:val="005A766D"/>
    <w:rsid w:val="005C220B"/>
    <w:rsid w:val="005D08B3"/>
    <w:rsid w:val="005F4726"/>
    <w:rsid w:val="006304F2"/>
    <w:rsid w:val="00671A46"/>
    <w:rsid w:val="006741E5"/>
    <w:rsid w:val="006854AB"/>
    <w:rsid w:val="006D24EA"/>
    <w:rsid w:val="00760986"/>
    <w:rsid w:val="0079467A"/>
    <w:rsid w:val="007B7F4F"/>
    <w:rsid w:val="00807AA0"/>
    <w:rsid w:val="00851B25"/>
    <w:rsid w:val="008559DF"/>
    <w:rsid w:val="008678D8"/>
    <w:rsid w:val="00876477"/>
    <w:rsid w:val="008A6186"/>
    <w:rsid w:val="008D4A86"/>
    <w:rsid w:val="0090177F"/>
    <w:rsid w:val="00911E83"/>
    <w:rsid w:val="009137D4"/>
    <w:rsid w:val="009A2469"/>
    <w:rsid w:val="009E6D68"/>
    <w:rsid w:val="00A46623"/>
    <w:rsid w:val="00A46F88"/>
    <w:rsid w:val="00A75250"/>
    <w:rsid w:val="00A77946"/>
    <w:rsid w:val="00A96F62"/>
    <w:rsid w:val="00AB1AC0"/>
    <w:rsid w:val="00AB6C61"/>
    <w:rsid w:val="00B27C2F"/>
    <w:rsid w:val="00B3064E"/>
    <w:rsid w:val="00BB40DB"/>
    <w:rsid w:val="00BB5814"/>
    <w:rsid w:val="00BC16AB"/>
    <w:rsid w:val="00BD61D7"/>
    <w:rsid w:val="00BE72CB"/>
    <w:rsid w:val="00C07007"/>
    <w:rsid w:val="00C261CC"/>
    <w:rsid w:val="00C2669C"/>
    <w:rsid w:val="00CC4A91"/>
    <w:rsid w:val="00CE5154"/>
    <w:rsid w:val="00D00A6A"/>
    <w:rsid w:val="00D050AC"/>
    <w:rsid w:val="00D20FD6"/>
    <w:rsid w:val="00DD0C28"/>
    <w:rsid w:val="00DD6899"/>
    <w:rsid w:val="00DE6340"/>
    <w:rsid w:val="00DF0794"/>
    <w:rsid w:val="00DF2921"/>
    <w:rsid w:val="00E20011"/>
    <w:rsid w:val="00E47890"/>
    <w:rsid w:val="00ED28FF"/>
    <w:rsid w:val="00F37FD7"/>
    <w:rsid w:val="00F45996"/>
    <w:rsid w:val="00F955EA"/>
    <w:rsid w:val="00FE2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3D8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53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153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315354"/>
    <w:pPr>
      <w:ind w:left="720"/>
      <w:contextualSpacing/>
    </w:pPr>
    <w:rPr>
      <w:lang w:val="en-GB"/>
    </w:rPr>
  </w:style>
  <w:style w:type="paragraph" w:customStyle="1" w:styleId="paragraph">
    <w:name w:val="paragraph"/>
    <w:basedOn w:val="Normalny"/>
    <w:rsid w:val="00315354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customStyle="1" w:styleId="normaltextrun">
    <w:name w:val="normaltextrun"/>
    <w:basedOn w:val="Domylnaczcionkaakapitu"/>
    <w:rsid w:val="00315354"/>
  </w:style>
  <w:style w:type="character" w:customStyle="1" w:styleId="eop">
    <w:name w:val="eop"/>
    <w:basedOn w:val="Domylnaczcionkaakapitu"/>
    <w:rsid w:val="00315354"/>
  </w:style>
  <w:style w:type="table" w:styleId="Tabela-Siatka">
    <w:name w:val="Table Grid"/>
    <w:basedOn w:val="Standardowy"/>
    <w:uiPriority w:val="39"/>
    <w:rsid w:val="00315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153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15354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NagwekZnak">
    <w:name w:val="Nagłówek Znak"/>
    <w:basedOn w:val="Domylnaczcionkaakapitu"/>
    <w:link w:val="Nagwek"/>
    <w:uiPriority w:val="99"/>
    <w:rsid w:val="00315354"/>
    <w:rPr>
      <w:lang w:val="en-GB"/>
    </w:rPr>
  </w:style>
  <w:style w:type="paragraph" w:styleId="Stopka">
    <w:name w:val="footer"/>
    <w:basedOn w:val="Normalny"/>
    <w:link w:val="StopkaZnak"/>
    <w:uiPriority w:val="99"/>
    <w:unhideWhenUsed/>
    <w:rsid w:val="00315354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rsid w:val="00315354"/>
    <w:rPr>
      <w:lang w:val="en-GB"/>
    </w:rPr>
  </w:style>
  <w:style w:type="paragraph" w:styleId="Bezodstpw">
    <w:name w:val="No Spacing"/>
    <w:uiPriority w:val="1"/>
    <w:qFormat/>
    <w:rsid w:val="00570BA4"/>
    <w:pPr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340FF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40FFD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7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c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9EFA8-A764-4B51-828F-F4D7DF428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6514</Words>
  <Characters>39087</Characters>
  <Application>Microsoft Office Word</Application>
  <DocSecurity>0</DocSecurity>
  <Lines>325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 Specjalistyczny w Chorzowie;Sławomir Klebach</dc:creator>
  <cp:lastModifiedBy>Szpital</cp:lastModifiedBy>
  <cp:revision>4</cp:revision>
  <cp:lastPrinted>2022-07-29T09:38:00Z</cp:lastPrinted>
  <dcterms:created xsi:type="dcterms:W3CDTF">2022-09-12T07:03:00Z</dcterms:created>
  <dcterms:modified xsi:type="dcterms:W3CDTF">2022-09-16T11:20:00Z</dcterms:modified>
</cp:coreProperties>
</file>