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3987" w:rsidRPr="009A3987" w:rsidRDefault="009A3987" w:rsidP="009A3987">
      <w:pPr>
        <w:jc w:val="right"/>
        <w:rPr>
          <w:rFonts w:ascii="URWPalladioL-Bold" w:hAnsi="URWPalladioL-Bold" w:cs="URWPalladioL-Bold"/>
          <w:b/>
          <w:bCs/>
          <w:color w:val="000000" w:themeColor="text1"/>
          <w:sz w:val="24"/>
          <w:szCs w:val="24"/>
        </w:rPr>
      </w:pPr>
      <w:r w:rsidRPr="009A3987">
        <w:rPr>
          <w:rFonts w:ascii="URWPalladioL-Bold" w:hAnsi="URWPalladioL-Bold" w:cs="URWPalladioL-Bold"/>
          <w:b/>
          <w:bCs/>
          <w:color w:val="000000" w:themeColor="text1"/>
          <w:sz w:val="24"/>
          <w:szCs w:val="24"/>
        </w:rPr>
        <w:t>Załącznik nr 7 do SWZ</w:t>
      </w:r>
    </w:p>
    <w:p w:rsidR="00FB6138" w:rsidRDefault="00FB6138" w:rsidP="009A3987">
      <w:pPr>
        <w:rPr>
          <w:rFonts w:ascii="URWPalladioL-Bold" w:hAnsi="URWPalladioL-Bold" w:cs="URWPalladioL-Bold"/>
          <w:b/>
          <w:bCs/>
          <w:color w:val="FF0000"/>
          <w:sz w:val="24"/>
          <w:szCs w:val="24"/>
        </w:rPr>
      </w:pPr>
      <w:r w:rsidRPr="00FB7D0E">
        <w:rPr>
          <w:rFonts w:ascii="URWPalladioL-Bold" w:hAnsi="URWPalladioL-Bold" w:cs="URWPalladioL-Bold"/>
          <w:b/>
          <w:bCs/>
          <w:color w:val="FF0000"/>
          <w:sz w:val="24"/>
          <w:szCs w:val="24"/>
        </w:rPr>
        <w:t xml:space="preserve">Proszę poprawić poniższy tekst i sformatować go wg podanego wzoru (plik: </w:t>
      </w:r>
      <w:proofErr w:type="spellStart"/>
      <w:r w:rsidRPr="00FB7D0E">
        <w:rPr>
          <w:rFonts w:ascii="URWPalladioL-Bold" w:hAnsi="URWPalladioL-Bold" w:cs="URWPalladioL-Bold"/>
          <w:b/>
          <w:bCs/>
          <w:color w:val="FF0000"/>
          <w:sz w:val="24"/>
          <w:szCs w:val="24"/>
        </w:rPr>
        <w:t>publication</w:t>
      </w:r>
      <w:proofErr w:type="spellEnd"/>
      <w:r w:rsidRPr="00FB7D0E">
        <w:rPr>
          <w:rFonts w:ascii="URWPalladioL-Bold" w:hAnsi="URWPalladioL-Bold" w:cs="URWPalladioL-Bold"/>
          <w:b/>
          <w:bCs/>
          <w:color w:val="FF0000"/>
          <w:sz w:val="24"/>
          <w:szCs w:val="24"/>
        </w:rPr>
        <w:t xml:space="preserve"> </w:t>
      </w:r>
      <w:proofErr w:type="spellStart"/>
      <w:r w:rsidRPr="00FB7D0E">
        <w:rPr>
          <w:rFonts w:ascii="URWPalladioL-Bold" w:hAnsi="URWPalladioL-Bold" w:cs="URWPalladioL-Bold"/>
          <w:b/>
          <w:bCs/>
          <w:color w:val="FF0000"/>
          <w:sz w:val="24"/>
          <w:szCs w:val="24"/>
        </w:rPr>
        <w:t>template</w:t>
      </w:r>
      <w:proofErr w:type="spellEnd"/>
      <w:r w:rsidRPr="00FB7D0E">
        <w:rPr>
          <w:rFonts w:ascii="URWPalladioL-Bold" w:hAnsi="URWPalladioL-Bold" w:cs="URWPalladioL-Bold"/>
          <w:b/>
          <w:bCs/>
          <w:color w:val="FF0000"/>
          <w:sz w:val="24"/>
          <w:szCs w:val="24"/>
        </w:rPr>
        <w:t xml:space="preserve"> 2022</w:t>
      </w:r>
      <w:r w:rsidR="00710C7B">
        <w:rPr>
          <w:rFonts w:ascii="URWPalladioL-Bold" w:hAnsi="URWPalladioL-Bold" w:cs="URWPalladioL-Bold"/>
          <w:b/>
          <w:bCs/>
          <w:color w:val="FF0000"/>
          <w:sz w:val="24"/>
          <w:szCs w:val="24"/>
        </w:rPr>
        <w:t>- załącznik nr 9 do SWZ</w:t>
      </w:r>
      <w:r w:rsidRPr="00FB7D0E">
        <w:rPr>
          <w:rFonts w:ascii="URWPalladioL-Bold" w:hAnsi="URWPalladioL-Bold" w:cs="URWPalladioL-Bold"/>
          <w:b/>
          <w:bCs/>
          <w:color w:val="FF0000"/>
          <w:sz w:val="24"/>
          <w:szCs w:val="24"/>
        </w:rPr>
        <w:t>)</w:t>
      </w:r>
      <w:bookmarkStart w:id="0" w:name="_GoBack"/>
      <w:bookmarkEnd w:id="0"/>
    </w:p>
    <w:p w:rsidR="009A3987" w:rsidRPr="009A3987" w:rsidRDefault="009A3987" w:rsidP="009A3987">
      <w:pPr>
        <w:rPr>
          <w:rFonts w:ascii="URWPalladioL-Bold" w:hAnsi="URWPalladioL-Bold" w:cs="URWPalladioL-Bold"/>
          <w:b/>
          <w:bCs/>
          <w:color w:val="FF0000"/>
          <w:sz w:val="24"/>
          <w:szCs w:val="24"/>
        </w:rPr>
      </w:pPr>
    </w:p>
    <w:p w:rsidR="00FB6138" w:rsidRPr="00063A7B" w:rsidRDefault="00FB6138" w:rsidP="00FB6138">
      <w:pPr>
        <w:pStyle w:val="Nagwek1"/>
      </w:pPr>
      <w:r w:rsidRPr="00063A7B">
        <w:t>Produkty mleczne o obniżonej zawartości  laktozy jako żywność funkcjonalna</w:t>
      </w:r>
    </w:p>
    <w:p w:rsidR="00FB6138" w:rsidRPr="00063A7B" w:rsidRDefault="00FB6138" w:rsidP="00FB6138">
      <w:r w:rsidRPr="00063A7B">
        <w:t>Agnieszka Palka</w:t>
      </w:r>
    </w:p>
    <w:p w:rsidR="00FB6138" w:rsidRPr="00063A7B" w:rsidRDefault="00FB6138" w:rsidP="00FB6138">
      <w:pPr>
        <w:pStyle w:val="Nagwek2"/>
        <w:rPr>
          <w:color w:val="auto"/>
        </w:rPr>
      </w:pPr>
      <w:r w:rsidRPr="00063A7B">
        <w:rPr>
          <w:color w:val="auto"/>
        </w:rPr>
        <w:t>Wprowadzenie</w:t>
      </w:r>
    </w:p>
    <w:p w:rsidR="00FB6138" w:rsidRPr="00063A7B" w:rsidRDefault="00FB6138" w:rsidP="00FB6138">
      <w:pPr>
        <w:pStyle w:val="Akapitzwyky"/>
        <w:rPr>
          <w:color w:val="auto"/>
        </w:rPr>
      </w:pPr>
      <w:r w:rsidRPr="00063A7B">
        <w:rPr>
          <w:color w:val="auto"/>
        </w:rPr>
        <w:t xml:space="preserve">W ciągu ostatnich lat można zaobserwować bardzo szybki rozwój rynku spożywczego i żywieniowego, celem dostosowania go do wysokich wymagań konsumentów. Wpływ na nowe trendy żywieniowe mają przemiany ekonomiczne, socjalne jak i kulturowe które, zmieniają styl i nastawienie do życia. Co za tym idzie zmieniają zdrowotny punkt widzenia na życie i funkcjonowanie organizmu. Niekorzystne zmiany środowiskowe oraz wspomniane wcześniej zmiany stylu życiu przy jednoczesnym wzroście świadomości zdrowotnej konsumentów i dążeniu do utrzymania dobrego stanu zdrowia, przyczyniły się do zwiększenia popytu na produkty o specjalnym składzie. Skład ten charakteryzuje się korzystnym udokumentowanym wpływem zdrowotnym na organizm. Produkty te </w:t>
      </w:r>
      <w:proofErr w:type="spellStart"/>
      <w:r w:rsidRPr="00063A7B">
        <w:rPr>
          <w:color w:val="auto"/>
        </w:rPr>
        <w:t>charakteryzuja</w:t>
      </w:r>
      <w:proofErr w:type="spellEnd"/>
      <w:r w:rsidRPr="00063A7B">
        <w:rPr>
          <w:color w:val="auto"/>
        </w:rPr>
        <w:t xml:space="preserve"> się wysoką jakością sensoryczną jak i wygodą stosowania. Żywność ta określana jest jako żywność funkcjonalna (ang. </w:t>
      </w:r>
      <w:proofErr w:type="spellStart"/>
      <w:r w:rsidRPr="00063A7B">
        <w:rPr>
          <w:color w:val="auto"/>
        </w:rPr>
        <w:t>funcional</w:t>
      </w:r>
      <w:proofErr w:type="spellEnd"/>
      <w:r w:rsidRPr="00063A7B">
        <w:rPr>
          <w:color w:val="auto"/>
        </w:rPr>
        <w:t xml:space="preserve"> food), która jest cennym uzupełnieniem urozmaiconej i zrównoważonej diety. Produkty te mają wspomagać organizm w utrzymaniu dobrej kondycji psychicznej fizycznej oraz pomagać w zapobieganiu, a nawet leczyć niektóre schorzenia. Żywność funkcjonalna dzięki obecności substancji bioaktywnych, stymulujących, może dokonywać pożądanych procesów metabolicznych, które mają prozdrowotny wpływ na ludzki organizm [Świderski 2003, Waszkiewicz-Robak i in. 2015].</w:t>
      </w:r>
    </w:p>
    <w:p w:rsidR="00FB6138" w:rsidRPr="00063A7B" w:rsidRDefault="00FB6138" w:rsidP="00FB6138">
      <w:pPr>
        <w:pStyle w:val="Akapitzwyky"/>
        <w:rPr>
          <w:color w:val="auto"/>
        </w:rPr>
      </w:pPr>
      <w:r w:rsidRPr="00063A7B">
        <w:rPr>
          <w:color w:val="auto"/>
        </w:rPr>
        <w:t xml:space="preserve">Termin żywności funkcjonalnej w literaturze pojawił się po raz pierwszy na początku lat 90. XX wieku. Koncepcja produkcji tej żywności wywodzi się z filozofii dalekiego Wschodu, która ukazuje, że nie ma specjalnej różnicy między  przyjmowaniem leków a pożywieniem dostarczanym do organizmu. Przodującym rynkiem żywności funkcjonalnej jest zdecydowanie rynek </w:t>
      </w:r>
      <w:proofErr w:type="spellStart"/>
      <w:r w:rsidRPr="00063A7B">
        <w:rPr>
          <w:color w:val="auto"/>
        </w:rPr>
        <w:t>Japoni</w:t>
      </w:r>
      <w:proofErr w:type="spellEnd"/>
      <w:r w:rsidRPr="00063A7B">
        <w:rPr>
          <w:color w:val="auto"/>
        </w:rPr>
        <w:t xml:space="preserve"> ze względu na wysoki konsumpcjonizm jej obywateli [Janicki 2001]. W 1996 roku zainicjowano początek programu badawczego FUFOSE (ang. </w:t>
      </w:r>
      <w:proofErr w:type="spellStart"/>
      <w:r w:rsidRPr="00063A7B">
        <w:rPr>
          <w:color w:val="auto"/>
        </w:rPr>
        <w:t>Funcional</w:t>
      </w:r>
      <w:proofErr w:type="spellEnd"/>
      <w:r w:rsidRPr="00063A7B">
        <w:rPr>
          <w:color w:val="auto"/>
        </w:rPr>
        <w:t xml:space="preserve"> Foods </w:t>
      </w:r>
      <w:proofErr w:type="spellStart"/>
      <w:r w:rsidRPr="00063A7B">
        <w:rPr>
          <w:color w:val="auto"/>
        </w:rPr>
        <w:t>Sciene</w:t>
      </w:r>
      <w:proofErr w:type="spellEnd"/>
      <w:r w:rsidRPr="00063A7B">
        <w:rPr>
          <w:color w:val="auto"/>
        </w:rPr>
        <w:t xml:space="preserve"> in Europ), sfinansowany przez Komisję Europejską. Projekt ten miał na celu wypracowanie podstaw naukowych dla terminu i ogólnego pojęcia żywności funkcjonalnej, wskazanie kryteriów oraz wdrażania produktów spożywczych w Unii Europejskiej. Po wielu badaniach FUFOSE zdefiniowało żywność funkcjonalną jako tą która ma korzystny wpływ na jedną lub więcej funkcji organizmu ponad efekt odżywczy, którego to wpływ polega na poprawie stanu zdrowia oraz samopoczucia i/lub  zmniejsza ryzyko chorób [</w:t>
      </w:r>
      <w:proofErr w:type="spellStart"/>
      <w:r w:rsidRPr="00063A7B">
        <w:rPr>
          <w:color w:val="auto"/>
        </w:rPr>
        <w:t>Martirosyan</w:t>
      </w:r>
      <w:proofErr w:type="spellEnd"/>
      <w:r w:rsidRPr="00063A7B">
        <w:rPr>
          <w:color w:val="auto"/>
        </w:rPr>
        <w:t xml:space="preserve"> i Singh 2015, Świderski 2003].</w:t>
      </w:r>
    </w:p>
    <w:p w:rsidR="00FB6138" w:rsidRPr="00063A7B" w:rsidRDefault="00FB6138" w:rsidP="00FB6138">
      <w:pPr>
        <w:pStyle w:val="Akapitzwyky"/>
        <w:rPr>
          <w:color w:val="auto"/>
        </w:rPr>
      </w:pPr>
      <w:r w:rsidRPr="00063A7B">
        <w:rPr>
          <w:color w:val="auto"/>
        </w:rPr>
        <w:t>W dzisiejszych czasach trend bycia prozdrowotnym i proaktywnym fizycznie powoduje popyt na produkty żywności funkcjonalnej, dzięki czemu rynek tego segmentu gospodarki stale się rozwija. Potrzeba opracowania i wprowadzania na rynek nowych asortymentów żywności funkcjonalnej wynika z rosnącego zainteresowania konsumentów wpływem specyficznych składników żywności na zdrowie [Karwowska i Gustaw 2015].</w:t>
      </w:r>
    </w:p>
    <w:p w:rsidR="00FB6138" w:rsidRPr="00063A7B" w:rsidRDefault="00FB6138" w:rsidP="00FB6138">
      <w:pPr>
        <w:pStyle w:val="Akapitzwyky"/>
        <w:rPr>
          <w:color w:val="auto"/>
        </w:rPr>
      </w:pPr>
      <w:r w:rsidRPr="00063A7B">
        <w:rPr>
          <w:color w:val="auto"/>
        </w:rPr>
        <w:t xml:space="preserve">Do grupy produktów funkcjonalnych można zaliczyć dużo produktów spożywczych, jednak najczęściej </w:t>
      </w:r>
      <w:proofErr w:type="spellStart"/>
      <w:r w:rsidRPr="00063A7B">
        <w:rPr>
          <w:color w:val="auto"/>
        </w:rPr>
        <w:t>spżywanymi</w:t>
      </w:r>
      <w:proofErr w:type="spellEnd"/>
      <w:r w:rsidRPr="00063A7B">
        <w:rPr>
          <w:color w:val="auto"/>
        </w:rPr>
        <w:t xml:space="preserve"> produktami tego typu są jogurty i kefiry [</w:t>
      </w:r>
      <w:proofErr w:type="spellStart"/>
      <w:r w:rsidRPr="00063A7B">
        <w:rPr>
          <w:color w:val="auto"/>
        </w:rPr>
        <w:t>Gasmalla</w:t>
      </w:r>
      <w:proofErr w:type="spellEnd"/>
      <w:r w:rsidRPr="00063A7B">
        <w:rPr>
          <w:color w:val="auto"/>
        </w:rPr>
        <w:t xml:space="preserve"> i in. 2017]. Ich spożycie jest od wielu lat na wysokim poziomie w różnych grupach konsumentów, a są to produkty polecane między innymi osobą starszym i dzieciom. Ich właściwości funkcjonalne zawdzięczamy zawartości wapnia, witaminy D i A, białka oraz </w:t>
      </w:r>
      <w:proofErr w:type="spellStart"/>
      <w:r w:rsidRPr="00063A7B">
        <w:rPr>
          <w:color w:val="auto"/>
        </w:rPr>
        <w:t>probiotyków</w:t>
      </w:r>
      <w:proofErr w:type="spellEnd"/>
      <w:r w:rsidRPr="00063A7B">
        <w:rPr>
          <w:color w:val="auto"/>
        </w:rPr>
        <w:t xml:space="preserve">. Ich cechy organoleptyczne są bardzo atrakcyjne dla wielu konsumentów. Jednocześnie, produkty mleczne pozbawione laktozy, są coraz bardziej popularne na polskim rynku, ich asortyment stale się powiększa. Dlatego podjęto próbę wytworzenia jogurtów i kefirów z mleka pozbawionego laktozy i ocena ich jakości. Celem pracy była ocena jakości jogurtów i kefirów z laktozą  i bez laktozy oraz ocena wpływu </w:t>
      </w:r>
      <w:proofErr w:type="spellStart"/>
      <w:r w:rsidRPr="00063A7B">
        <w:rPr>
          <w:color w:val="auto"/>
        </w:rPr>
        <w:t>pszechowywania</w:t>
      </w:r>
      <w:proofErr w:type="spellEnd"/>
      <w:r w:rsidRPr="00063A7B">
        <w:rPr>
          <w:color w:val="auto"/>
        </w:rPr>
        <w:t xml:space="preserve"> na ich jakość. Przystępując do badań i realizacji pracy wysunięto dwie hipotezy badawcze:</w:t>
      </w:r>
    </w:p>
    <w:p w:rsidR="00FB6138" w:rsidRPr="00063A7B" w:rsidRDefault="00FB6138" w:rsidP="00FB6138">
      <w:pPr>
        <w:pStyle w:val="Akapitzwyky"/>
        <w:numPr>
          <w:ilvl w:val="0"/>
          <w:numId w:val="5"/>
        </w:numPr>
        <w:ind w:left="709" w:hanging="283"/>
        <w:rPr>
          <w:color w:val="auto"/>
        </w:rPr>
      </w:pPr>
      <w:r w:rsidRPr="00063A7B">
        <w:rPr>
          <w:color w:val="auto"/>
        </w:rPr>
        <w:lastRenderedPageBreak/>
        <w:t>Zawartość laktozy w produktach mlecznych fermentowanych nie ma wpływu  na cechy organoleptyczne produktu</w:t>
      </w:r>
    </w:p>
    <w:p w:rsidR="00FB6138" w:rsidRPr="00063A7B" w:rsidRDefault="00FB6138" w:rsidP="00FB6138">
      <w:pPr>
        <w:pStyle w:val="Akapitzwyky"/>
        <w:numPr>
          <w:ilvl w:val="0"/>
          <w:numId w:val="2"/>
        </w:numPr>
        <w:ind w:left="709" w:hanging="283"/>
        <w:rPr>
          <w:color w:val="auto"/>
        </w:rPr>
      </w:pPr>
      <w:r w:rsidRPr="00063A7B">
        <w:rPr>
          <w:color w:val="auto"/>
        </w:rPr>
        <w:t>Zawartość laktozy ma wpływ na kwasowość produktów.</w:t>
      </w:r>
    </w:p>
    <w:p w:rsidR="00FB6138" w:rsidRPr="00063A7B" w:rsidRDefault="00FB6138" w:rsidP="00FB6138">
      <w:pPr>
        <w:pStyle w:val="Nagwek2"/>
        <w:numPr>
          <w:ilvl w:val="0"/>
          <w:numId w:val="6"/>
        </w:numPr>
        <w:rPr>
          <w:color w:val="auto"/>
        </w:rPr>
      </w:pPr>
      <w:r w:rsidRPr="00063A7B">
        <w:rPr>
          <w:color w:val="auto"/>
        </w:rPr>
        <w:t>Produkty mleczne jako żywność funkcjonalna</w:t>
      </w:r>
    </w:p>
    <w:p w:rsidR="00FB6138" w:rsidRPr="00063A7B" w:rsidRDefault="00FB6138" w:rsidP="00FB6138">
      <w:pPr>
        <w:pStyle w:val="Akapitzwyky"/>
        <w:rPr>
          <w:color w:val="auto"/>
        </w:rPr>
      </w:pPr>
      <w:r w:rsidRPr="00063A7B">
        <w:rPr>
          <w:color w:val="auto"/>
        </w:rPr>
        <w:t xml:space="preserve">Mleko i produkty mleczne to główne składniki codziennej diety większości </w:t>
      </w:r>
      <w:proofErr w:type="spellStart"/>
      <w:r w:rsidRPr="00063A7B">
        <w:rPr>
          <w:color w:val="auto"/>
        </w:rPr>
        <w:t>polaków</w:t>
      </w:r>
      <w:proofErr w:type="spellEnd"/>
      <w:r w:rsidRPr="00063A7B">
        <w:rPr>
          <w:color w:val="auto"/>
        </w:rPr>
        <w:t xml:space="preserve">, dostarczają wielu składników odżywczych cennych dla zdrowia. Mleko prócz wielu swych zalet posiada także wady, ze względu na które niekiedy musimy ograniczać spożywanie produktów mlecznych. Są to składniki </w:t>
      </w:r>
      <w:proofErr w:type="spellStart"/>
      <w:r w:rsidRPr="00063A7B">
        <w:rPr>
          <w:color w:val="auto"/>
        </w:rPr>
        <w:t>dietozależne</w:t>
      </w:r>
      <w:proofErr w:type="spellEnd"/>
      <w:r w:rsidRPr="00063A7B">
        <w:rPr>
          <w:color w:val="auto"/>
        </w:rPr>
        <w:t xml:space="preserve"> tj. cholesterol, nasycone kwasy tłuszczowe, białka alergenne oraz laktoza [Gawęcki i Pikul 2018].</w:t>
      </w:r>
    </w:p>
    <w:p w:rsidR="00FB6138" w:rsidRPr="00063A7B" w:rsidRDefault="00FB6138" w:rsidP="00FB6138">
      <w:pPr>
        <w:pStyle w:val="Akapitzwyky"/>
        <w:rPr>
          <w:color w:val="auto"/>
        </w:rPr>
      </w:pPr>
      <w:r w:rsidRPr="00063A7B">
        <w:rPr>
          <w:color w:val="auto"/>
        </w:rPr>
        <w:t xml:space="preserve">Jogurt do dziś jest jednym z najbardziej rozpowszechnionych i lubianych produktów na świecie, jest to napój wyprodukowany z mleka, poddanego procesowi pasteryzacji, a następnie ukwaszonego zakwasem czystych kultur bakterii z grupy </w:t>
      </w:r>
      <w:proofErr w:type="spellStart"/>
      <w:r w:rsidRPr="00063A7B">
        <w:rPr>
          <w:color w:val="auto"/>
        </w:rPr>
        <w:t>Streptoccoccus</w:t>
      </w:r>
      <w:proofErr w:type="spellEnd"/>
      <w:r w:rsidRPr="00063A7B">
        <w:rPr>
          <w:color w:val="auto"/>
        </w:rPr>
        <w:t xml:space="preserve"> </w:t>
      </w:r>
      <w:proofErr w:type="spellStart"/>
      <w:r w:rsidRPr="00063A7B">
        <w:rPr>
          <w:color w:val="auto"/>
        </w:rPr>
        <w:t>thermophillus</w:t>
      </w:r>
      <w:proofErr w:type="spellEnd"/>
      <w:r w:rsidRPr="00063A7B">
        <w:rPr>
          <w:color w:val="auto"/>
        </w:rPr>
        <w:t xml:space="preserve">, </w:t>
      </w:r>
      <w:proofErr w:type="spellStart"/>
      <w:r w:rsidRPr="00063A7B">
        <w:rPr>
          <w:color w:val="auto"/>
        </w:rPr>
        <w:t>Lactobacillus</w:t>
      </w:r>
      <w:proofErr w:type="spellEnd"/>
      <w:r w:rsidRPr="00063A7B">
        <w:rPr>
          <w:color w:val="auto"/>
        </w:rPr>
        <w:t xml:space="preserve"> </w:t>
      </w:r>
      <w:proofErr w:type="spellStart"/>
      <w:r w:rsidRPr="00063A7B">
        <w:rPr>
          <w:color w:val="auto"/>
        </w:rPr>
        <w:t>bulgariccus</w:t>
      </w:r>
      <w:proofErr w:type="spellEnd"/>
      <w:r w:rsidRPr="00063A7B">
        <w:rPr>
          <w:color w:val="auto"/>
        </w:rPr>
        <w:t xml:space="preserve"> oraz </w:t>
      </w:r>
      <w:proofErr w:type="spellStart"/>
      <w:r w:rsidRPr="00063A7B">
        <w:rPr>
          <w:color w:val="auto"/>
        </w:rPr>
        <w:t>Lactobacillus</w:t>
      </w:r>
      <w:proofErr w:type="spellEnd"/>
      <w:r w:rsidRPr="00063A7B">
        <w:rPr>
          <w:color w:val="auto"/>
        </w:rPr>
        <w:t xml:space="preserve"> </w:t>
      </w:r>
      <w:proofErr w:type="spellStart"/>
      <w:r w:rsidRPr="00063A7B">
        <w:rPr>
          <w:color w:val="auto"/>
        </w:rPr>
        <w:t>biffidus</w:t>
      </w:r>
      <w:proofErr w:type="spellEnd"/>
      <w:r w:rsidRPr="00063A7B">
        <w:rPr>
          <w:color w:val="auto"/>
        </w:rPr>
        <w:t xml:space="preserve"> [PN-83/A-86061].</w:t>
      </w:r>
    </w:p>
    <w:p w:rsidR="00FB6138" w:rsidRPr="00063A7B" w:rsidRDefault="00FB6138" w:rsidP="00FB6138">
      <w:pPr>
        <w:pStyle w:val="Akapitzwyky"/>
        <w:rPr>
          <w:color w:val="auto"/>
        </w:rPr>
      </w:pPr>
      <w:r w:rsidRPr="00063A7B">
        <w:rPr>
          <w:color w:val="auto"/>
        </w:rPr>
        <w:t xml:space="preserve">Jogurt jest produktem o bardzo wysokiej gęstości odżywczej, będąc doskonałym źródłem białka mleka, wapna, magnezu, witaminy B12 oraz kwasów tłuszczowych. Ponadto jest potencjalnym źródłem prebiotyków, ponieważ zawiera wartościowe kultury bakterii mlekowych. Wspomaga wchłanianie składników odżywczych, dzięki czemu ma pozytywny wpływ na układ pokarmowy człowieka [Fernandez i </w:t>
      </w:r>
      <w:proofErr w:type="spellStart"/>
      <w:r w:rsidRPr="00063A7B">
        <w:rPr>
          <w:color w:val="auto"/>
        </w:rPr>
        <w:t>Marett</w:t>
      </w:r>
      <w:proofErr w:type="spellEnd"/>
      <w:r w:rsidRPr="00063A7B">
        <w:rPr>
          <w:color w:val="auto"/>
        </w:rPr>
        <w:t xml:space="preserve"> 2017].</w:t>
      </w:r>
    </w:p>
    <w:p w:rsidR="00FB6138" w:rsidRPr="00063A7B" w:rsidRDefault="00FB6138" w:rsidP="00FB6138">
      <w:pPr>
        <w:pStyle w:val="Akapitzwyky"/>
        <w:rPr>
          <w:color w:val="auto"/>
        </w:rPr>
      </w:pPr>
      <w:r w:rsidRPr="00063A7B">
        <w:rPr>
          <w:color w:val="auto"/>
        </w:rPr>
        <w:t xml:space="preserve">Kefir to napój wyprodukowany z mleka pasteryzowanego o określonej zawartości tłuszczu, poddanego fermentacji alkoholowo-kwasowej przez dodanie zakwasu z grzybków kefirowych [PN-83/A-86061]. Ziarna kefirowe, bo tak często są również nazywane grzybki kefirowe, to zlepieńce symbiotycznego układu paciorkowców mlecznych (70%), pałeczek mlekowych (25%), oraz drożdży (5%) [Górna i in. 1978]. Bakterie używane do produkcji kefiru to np. </w:t>
      </w:r>
      <w:proofErr w:type="spellStart"/>
      <w:r w:rsidRPr="00063A7B">
        <w:rPr>
          <w:color w:val="auto"/>
        </w:rPr>
        <w:t>Lactobacillus</w:t>
      </w:r>
      <w:proofErr w:type="spellEnd"/>
      <w:r w:rsidRPr="00063A7B">
        <w:rPr>
          <w:color w:val="auto"/>
        </w:rPr>
        <w:t xml:space="preserve"> </w:t>
      </w:r>
      <w:proofErr w:type="spellStart"/>
      <w:r w:rsidRPr="00063A7B">
        <w:rPr>
          <w:color w:val="auto"/>
        </w:rPr>
        <w:t>itallic</w:t>
      </w:r>
      <w:proofErr w:type="spellEnd"/>
      <w:r w:rsidRPr="00063A7B">
        <w:rPr>
          <w:color w:val="auto"/>
        </w:rPr>
        <w:t xml:space="preserve">, </w:t>
      </w:r>
      <w:proofErr w:type="spellStart"/>
      <w:r w:rsidRPr="00063A7B">
        <w:rPr>
          <w:color w:val="auto"/>
        </w:rPr>
        <w:t>Lactobacillus</w:t>
      </w:r>
      <w:proofErr w:type="spellEnd"/>
      <w:r w:rsidRPr="00063A7B">
        <w:rPr>
          <w:color w:val="auto"/>
        </w:rPr>
        <w:t xml:space="preserve"> </w:t>
      </w:r>
      <w:proofErr w:type="spellStart"/>
      <w:r w:rsidRPr="00063A7B">
        <w:rPr>
          <w:color w:val="auto"/>
        </w:rPr>
        <w:t>brevis</w:t>
      </w:r>
      <w:proofErr w:type="spellEnd"/>
      <w:r w:rsidRPr="00063A7B">
        <w:rPr>
          <w:color w:val="auto"/>
        </w:rPr>
        <w:t xml:space="preserve">, </w:t>
      </w:r>
      <w:proofErr w:type="spellStart"/>
      <w:r w:rsidRPr="00063A7B">
        <w:rPr>
          <w:color w:val="auto"/>
        </w:rPr>
        <w:t>Lactococcus</w:t>
      </w:r>
      <w:proofErr w:type="spellEnd"/>
      <w:r w:rsidRPr="00063A7B">
        <w:rPr>
          <w:color w:val="auto"/>
        </w:rPr>
        <w:t xml:space="preserve"> </w:t>
      </w:r>
      <w:proofErr w:type="spellStart"/>
      <w:r w:rsidRPr="00063A7B">
        <w:rPr>
          <w:color w:val="auto"/>
        </w:rPr>
        <w:t>lactis</w:t>
      </w:r>
      <w:proofErr w:type="spellEnd"/>
      <w:r w:rsidRPr="00063A7B">
        <w:rPr>
          <w:color w:val="auto"/>
        </w:rPr>
        <w:t xml:space="preserve"> </w:t>
      </w:r>
      <w:proofErr w:type="spellStart"/>
      <w:r w:rsidRPr="00063A7B">
        <w:rPr>
          <w:color w:val="auto"/>
        </w:rPr>
        <w:t>ssp</w:t>
      </w:r>
      <w:proofErr w:type="spellEnd"/>
      <w:r w:rsidRPr="00063A7B">
        <w:rPr>
          <w:color w:val="auto"/>
        </w:rPr>
        <w:t xml:space="preserve"> i drożdże fermentujące laktazę tj. </w:t>
      </w:r>
      <w:proofErr w:type="spellStart"/>
      <w:r w:rsidRPr="00063A7B">
        <w:rPr>
          <w:color w:val="auto"/>
        </w:rPr>
        <w:t>Kluveromyces</w:t>
      </w:r>
      <w:proofErr w:type="spellEnd"/>
      <w:r w:rsidRPr="00063A7B">
        <w:rPr>
          <w:color w:val="auto"/>
        </w:rPr>
        <w:t xml:space="preserve"> </w:t>
      </w:r>
      <w:proofErr w:type="spellStart"/>
      <w:r w:rsidRPr="00063A7B">
        <w:rPr>
          <w:color w:val="auto"/>
        </w:rPr>
        <w:t>marxianus</w:t>
      </w:r>
      <w:proofErr w:type="spellEnd"/>
      <w:r w:rsidRPr="00063A7B">
        <w:rPr>
          <w:color w:val="auto"/>
        </w:rPr>
        <w:t xml:space="preserve"> </w:t>
      </w:r>
      <w:proofErr w:type="spellStart"/>
      <w:r w:rsidRPr="00063A7B">
        <w:rPr>
          <w:color w:val="auto"/>
        </w:rPr>
        <w:t>ssp</w:t>
      </w:r>
      <w:proofErr w:type="spellEnd"/>
      <w:r w:rsidRPr="00063A7B">
        <w:rPr>
          <w:color w:val="auto"/>
        </w:rPr>
        <w:t xml:space="preserve">. </w:t>
      </w:r>
      <w:proofErr w:type="spellStart"/>
      <w:r w:rsidRPr="00063A7B">
        <w:rPr>
          <w:color w:val="auto"/>
        </w:rPr>
        <w:t>Lactis</w:t>
      </w:r>
      <w:proofErr w:type="spellEnd"/>
      <w:r w:rsidRPr="00063A7B">
        <w:rPr>
          <w:color w:val="auto"/>
        </w:rPr>
        <w:t xml:space="preserve">, czy Candida </w:t>
      </w:r>
      <w:proofErr w:type="spellStart"/>
      <w:r w:rsidRPr="00063A7B">
        <w:rPr>
          <w:color w:val="auto"/>
        </w:rPr>
        <w:t>kefyr</w:t>
      </w:r>
      <w:proofErr w:type="spellEnd"/>
      <w:r w:rsidRPr="00063A7B">
        <w:rPr>
          <w:color w:val="auto"/>
        </w:rPr>
        <w:t>. Jego wytrwany, orzeźwiający smak szybko ugasza pragnienie. Podczas fermentacji ważnym efektem ubocznym jest wydzielanie się dwutlenku węgla, co nadaje charakterystyczną konsystencję podczas  picia napoju [Gawęcki i Pikul 2018].</w:t>
      </w:r>
    </w:p>
    <w:p w:rsidR="00FB6138" w:rsidRPr="00063A7B" w:rsidRDefault="00FB6138" w:rsidP="00FB6138">
      <w:pPr>
        <w:pStyle w:val="Akapitzwyky"/>
        <w:rPr>
          <w:color w:val="auto"/>
        </w:rPr>
      </w:pPr>
      <w:r w:rsidRPr="00063A7B">
        <w:rPr>
          <w:color w:val="auto"/>
        </w:rPr>
        <w:t>Laktaza jest to węglowodan, dwucukier, występujący w mleku ssaków (oprócz mleka wielorybiego). Jest ona źródłem łatwo przyswajalnej energii, stymuluje rozwój smaku, ma wpływ na gospodarkę hormonalną i reguluje łaknienie. Do prawidłowego przetrawienia laktozy potrzebna jest laktaza, enzym rozkładający laktozę na cukry proste [</w:t>
      </w:r>
      <w:proofErr w:type="spellStart"/>
      <w:r w:rsidRPr="00063A7B">
        <w:rPr>
          <w:color w:val="auto"/>
        </w:rPr>
        <w:t>Budsławski</w:t>
      </w:r>
      <w:proofErr w:type="spellEnd"/>
      <w:r w:rsidRPr="00063A7B">
        <w:rPr>
          <w:color w:val="auto"/>
        </w:rPr>
        <w:t xml:space="preserve"> 1971, Korotkiewicz-Kaczmarska i Kaczmarski 2013].</w:t>
      </w:r>
    </w:p>
    <w:p w:rsidR="00FB6138" w:rsidRPr="00063A7B" w:rsidRDefault="00FB6138" w:rsidP="00FB6138">
      <w:pPr>
        <w:pStyle w:val="Akapitzwyky"/>
        <w:rPr>
          <w:color w:val="auto"/>
        </w:rPr>
      </w:pPr>
      <w:r w:rsidRPr="00063A7B">
        <w:rPr>
          <w:color w:val="auto"/>
        </w:rPr>
        <w:t>Nietolerancja laktozy definiowana jest jako wystąpienie po spożyciu produktów zawierających laktozę przynajmniej jednego z następujących objawów jakimi są: kolki jelitowe, bóle brzucha, wzdęcia, obfite gazy, biegunki, nudności, wymioty, sfermentowane stolce, przelewanie się w jelitach, kurczenie jelit. Ważne jest, aby dokonać badanie czy pacjent choruje na nietolerancje laktozy czy alergie na białka mleka krowiego [Korotkiewicz-Kaczmarska i Kaczmarski 2013, Zaręba i Ziarno 2019].</w:t>
      </w:r>
    </w:p>
    <w:p w:rsidR="00FB6138" w:rsidRPr="00063A7B" w:rsidRDefault="00FB6138" w:rsidP="00FB6138">
      <w:pPr>
        <w:pStyle w:val="Nagwek2"/>
        <w:numPr>
          <w:ilvl w:val="0"/>
          <w:numId w:val="3"/>
        </w:numPr>
        <w:rPr>
          <w:color w:val="auto"/>
        </w:rPr>
      </w:pPr>
      <w:r w:rsidRPr="00063A7B">
        <w:rPr>
          <w:color w:val="auto"/>
        </w:rPr>
        <w:t>Materiał i metody badawcze</w:t>
      </w:r>
    </w:p>
    <w:p w:rsidR="00FB6138" w:rsidRPr="00063A7B" w:rsidRDefault="00FB6138" w:rsidP="00FB6138">
      <w:pPr>
        <w:pStyle w:val="Akapitzwyky"/>
        <w:rPr>
          <w:color w:val="auto"/>
        </w:rPr>
      </w:pPr>
      <w:r w:rsidRPr="00063A7B">
        <w:rPr>
          <w:color w:val="auto"/>
        </w:rPr>
        <w:t xml:space="preserve">Materiał badawczy wykorzystany w pracy stanowiły jogurty i kefiry wyprodukowane w warunkach laboratoryjnych z mleka z laktozą firmy Mlekovita o zawartości tłuszczu 3,2 %, z mleka bez laktozy (usuniętej przemysłowo) firmy Mlekovita o zawartości tłuszczu 3,2 %, oraz z mleka bez laktozy (usuniętej w warunkach laboratoryjnych przy użyciu preparatu </w:t>
      </w:r>
      <w:proofErr w:type="spellStart"/>
      <w:r w:rsidRPr="00063A7B">
        <w:rPr>
          <w:color w:val="auto"/>
        </w:rPr>
        <w:t>Maxilact</w:t>
      </w:r>
      <w:proofErr w:type="spellEnd"/>
      <w:r w:rsidRPr="00063A7B">
        <w:rPr>
          <w:color w:val="auto"/>
        </w:rPr>
        <w:t xml:space="preserve"> </w:t>
      </w:r>
      <w:proofErr w:type="spellStart"/>
      <w:r w:rsidRPr="00063A7B">
        <w:rPr>
          <w:color w:val="auto"/>
        </w:rPr>
        <w:t>LGi</w:t>
      </w:r>
      <w:proofErr w:type="spellEnd"/>
      <w:r w:rsidRPr="00063A7B">
        <w:rPr>
          <w:color w:val="auto"/>
        </w:rPr>
        <w:t xml:space="preserve"> 5000) o zawartości tłuszczu 3,2% również firmy Mlekovita.</w:t>
      </w:r>
    </w:p>
    <w:p w:rsidR="00FB6138" w:rsidRPr="00063A7B" w:rsidRDefault="00FB6138" w:rsidP="00FB6138">
      <w:pPr>
        <w:pStyle w:val="Akapitzwyky"/>
        <w:rPr>
          <w:color w:val="auto"/>
        </w:rPr>
      </w:pPr>
      <w:r w:rsidRPr="00063A7B">
        <w:rPr>
          <w:color w:val="auto"/>
        </w:rPr>
        <w:t>Wyprodukowane materiały badawcze były przechowywane w dokładnie wysterylizowanych plastikowych, zamykanych pojemnikach o pojemności 100 ml, w temperaturze 4 °C. Produkcję, oraz badania przeprowadzono w laboratorium Katedry Towaroznawstwa i Zarządzania Jakością Uniwersytetu Morskiego w Gdyni. Badania przeprowadzono po  3 oraz 10 dniach przechowywania gotowych produktów.</w:t>
      </w:r>
    </w:p>
    <w:p w:rsidR="00FB6138" w:rsidRPr="00063A7B" w:rsidRDefault="00FB6138" w:rsidP="00FB6138">
      <w:pPr>
        <w:pStyle w:val="Akapitzwyky"/>
        <w:rPr>
          <w:color w:val="auto"/>
        </w:rPr>
      </w:pPr>
      <w:r w:rsidRPr="00063A7B">
        <w:rPr>
          <w:color w:val="auto"/>
        </w:rPr>
        <w:lastRenderedPageBreak/>
        <w:t>Oceny organoleptycznej dokonywał zespół 15 oceniający. Oceniający w wywiadzie wstępnym deklarowali, iż są wyspecjalizowani w ocenie organoleptycznej produktów spożywczych. Do oceny zastosowano 5punktową skalę, właściwą dla oceny organoleptycznej, gdzie:</w:t>
      </w:r>
    </w:p>
    <w:p w:rsidR="00FB6138" w:rsidRPr="00063A7B" w:rsidRDefault="00FB6138" w:rsidP="00FB6138">
      <w:pPr>
        <w:pStyle w:val="Akapitzwyky"/>
        <w:ind w:left="360" w:firstLine="0"/>
        <w:rPr>
          <w:color w:val="auto"/>
        </w:rPr>
      </w:pPr>
      <w:r w:rsidRPr="00063A7B">
        <w:rPr>
          <w:color w:val="auto"/>
        </w:rPr>
        <w:t>5 - produkt bardzo typowy,</w:t>
      </w:r>
    </w:p>
    <w:p w:rsidR="00FB6138" w:rsidRPr="00063A7B" w:rsidRDefault="00FB6138" w:rsidP="00FB6138">
      <w:pPr>
        <w:pStyle w:val="Akapitzwyky"/>
        <w:ind w:left="360" w:firstLine="0"/>
        <w:rPr>
          <w:color w:val="auto"/>
        </w:rPr>
      </w:pPr>
      <w:r w:rsidRPr="00063A7B">
        <w:rPr>
          <w:color w:val="auto"/>
        </w:rPr>
        <w:t>4 - produkt typowy,</w:t>
      </w:r>
    </w:p>
    <w:p w:rsidR="00FB6138" w:rsidRPr="00063A7B" w:rsidRDefault="00FB6138" w:rsidP="00FB6138">
      <w:pPr>
        <w:pStyle w:val="Akapitzwyky"/>
        <w:ind w:left="360" w:firstLine="0"/>
        <w:rPr>
          <w:color w:val="auto"/>
        </w:rPr>
      </w:pPr>
      <w:r w:rsidRPr="00063A7B">
        <w:rPr>
          <w:color w:val="auto"/>
        </w:rPr>
        <w:t>3 - produkt średni,</w:t>
      </w:r>
    </w:p>
    <w:p w:rsidR="00FB6138" w:rsidRPr="00063A7B" w:rsidRDefault="00FB6138" w:rsidP="00FB6138">
      <w:pPr>
        <w:pStyle w:val="Akapitzwyky"/>
        <w:ind w:left="360" w:firstLine="0"/>
        <w:rPr>
          <w:color w:val="auto"/>
        </w:rPr>
      </w:pPr>
      <w:r w:rsidRPr="00063A7B">
        <w:rPr>
          <w:color w:val="auto"/>
        </w:rPr>
        <w:t>2 - produkt mało typowy,</w:t>
      </w:r>
    </w:p>
    <w:p w:rsidR="00FB6138" w:rsidRPr="00063A7B" w:rsidRDefault="00FB6138" w:rsidP="00FB6138">
      <w:pPr>
        <w:pStyle w:val="Akapitzwyky"/>
        <w:ind w:left="360" w:firstLine="0"/>
        <w:rPr>
          <w:color w:val="auto"/>
        </w:rPr>
      </w:pPr>
      <w:r w:rsidRPr="00063A7B">
        <w:rPr>
          <w:color w:val="auto"/>
        </w:rPr>
        <w:t>1 - produkt nietypowy.</w:t>
      </w:r>
    </w:p>
    <w:p w:rsidR="00FB6138" w:rsidRPr="00063A7B" w:rsidRDefault="00FB6138" w:rsidP="00FB6138">
      <w:pPr>
        <w:pStyle w:val="Standard"/>
        <w:rPr>
          <w:color w:val="auto"/>
          <w:lang w:val="pl-PL"/>
        </w:rPr>
      </w:pPr>
      <w:r w:rsidRPr="00063A7B">
        <w:rPr>
          <w:color w:val="auto"/>
          <w:sz w:val="22"/>
          <w:szCs w:val="22"/>
          <w:lang w:val="pl-PL"/>
        </w:rPr>
        <w:t>Wszystkie wyróżniki jakości uznano jednakowej ważkości.</w:t>
      </w:r>
    </w:p>
    <w:p w:rsidR="00FB6138" w:rsidRPr="00063A7B" w:rsidRDefault="00FB6138" w:rsidP="00FB6138">
      <w:pPr>
        <w:pStyle w:val="Standard"/>
        <w:ind w:firstLine="397"/>
        <w:rPr>
          <w:color w:val="auto"/>
          <w:lang w:val="pl-PL"/>
        </w:rPr>
      </w:pPr>
      <w:r w:rsidRPr="00063A7B">
        <w:rPr>
          <w:color w:val="auto"/>
          <w:sz w:val="22"/>
          <w:szCs w:val="22"/>
          <w:lang w:val="pl-PL"/>
        </w:rPr>
        <w:t>Oznaczenie kwasowości czynnej (</w:t>
      </w:r>
      <w:proofErr w:type="spellStart"/>
      <w:r w:rsidRPr="00063A7B">
        <w:rPr>
          <w:color w:val="auto"/>
          <w:sz w:val="22"/>
          <w:szCs w:val="22"/>
          <w:lang w:val="pl-PL"/>
        </w:rPr>
        <w:t>pH</w:t>
      </w:r>
      <w:proofErr w:type="spellEnd"/>
      <w:r w:rsidRPr="00063A7B">
        <w:rPr>
          <w:color w:val="auto"/>
          <w:sz w:val="22"/>
          <w:szCs w:val="22"/>
          <w:lang w:val="pl-PL"/>
        </w:rPr>
        <w:t>) wykonano przy pomocy pehametru HI 110. Oznaczenie kwasowości potencjalnej wykonano w próbkach 10  g produktu z 40 ml wody destylowanej, miareczkując 0,25N roztworem wodorotlenku sodu do różowego zabarwienia wobec fenoloftaleiny. Wszystkie oznaczenia wykonano w trzech powtórzeniach.</w:t>
      </w:r>
    </w:p>
    <w:p w:rsidR="00FB6138" w:rsidRPr="00063A7B" w:rsidRDefault="00FB6138" w:rsidP="00FB6138">
      <w:pPr>
        <w:pStyle w:val="Nagwek2"/>
        <w:numPr>
          <w:ilvl w:val="0"/>
          <w:numId w:val="3"/>
        </w:numPr>
        <w:rPr>
          <w:color w:val="auto"/>
        </w:rPr>
      </w:pPr>
      <w:r w:rsidRPr="00063A7B">
        <w:rPr>
          <w:color w:val="auto"/>
        </w:rPr>
        <w:t>Omówienie wyników</w:t>
      </w:r>
    </w:p>
    <w:p w:rsidR="00FB6138" w:rsidRPr="00063A7B" w:rsidRDefault="00FB6138" w:rsidP="00FB6138">
      <w:pPr>
        <w:pStyle w:val="Standard"/>
        <w:ind w:firstLine="397"/>
        <w:rPr>
          <w:color w:val="auto"/>
          <w:lang w:val="pl-PL"/>
        </w:rPr>
      </w:pPr>
      <w:r w:rsidRPr="00063A7B">
        <w:rPr>
          <w:color w:val="auto"/>
          <w:sz w:val="22"/>
          <w:szCs w:val="22"/>
          <w:lang w:val="pl-PL"/>
        </w:rPr>
        <w:t xml:space="preserve">Ocena stopnia hydrolizy laktozy (SLH) była pierwszym z przeprowadzonych oznaczeń. Do laboratoryjnej hydrolizy laktozy zastosowano preparat </w:t>
      </w:r>
      <w:proofErr w:type="spellStart"/>
      <w:r w:rsidRPr="00063A7B">
        <w:rPr>
          <w:color w:val="auto"/>
          <w:sz w:val="22"/>
          <w:szCs w:val="22"/>
          <w:lang w:val="pl-PL"/>
        </w:rPr>
        <w:t>Maxilact</w:t>
      </w:r>
      <w:proofErr w:type="spellEnd"/>
      <w:r w:rsidRPr="00063A7B">
        <w:rPr>
          <w:color w:val="auto"/>
          <w:sz w:val="22"/>
          <w:szCs w:val="22"/>
          <w:lang w:val="pl-PL"/>
        </w:rPr>
        <w:t xml:space="preserve"> </w:t>
      </w:r>
      <w:proofErr w:type="spellStart"/>
      <w:r w:rsidRPr="00063A7B">
        <w:rPr>
          <w:color w:val="auto"/>
          <w:sz w:val="22"/>
          <w:szCs w:val="22"/>
          <w:lang w:val="pl-PL"/>
        </w:rPr>
        <w:t>LGi</w:t>
      </w:r>
      <w:proofErr w:type="spellEnd"/>
      <w:r w:rsidRPr="00063A7B">
        <w:rPr>
          <w:color w:val="auto"/>
          <w:sz w:val="22"/>
          <w:szCs w:val="22"/>
          <w:lang w:val="pl-PL"/>
        </w:rPr>
        <w:t xml:space="preserve"> 5000 firmy DSM, a hydrolizę przeprowadzono w temperaturze 6°C, w czasie 24 h. Wyniki przedstawiono w tabeli 1.</w:t>
      </w:r>
    </w:p>
    <w:p w:rsidR="00FB6138" w:rsidRPr="00063A7B" w:rsidRDefault="00FB6138" w:rsidP="00FB6138">
      <w:pPr>
        <w:pStyle w:val="Standard"/>
        <w:ind w:firstLine="397"/>
        <w:rPr>
          <w:color w:val="auto"/>
          <w:sz w:val="22"/>
          <w:szCs w:val="22"/>
          <w:lang w:val="pl-PL"/>
        </w:rPr>
      </w:pPr>
    </w:p>
    <w:p w:rsidR="00FB6138" w:rsidRPr="00063A7B" w:rsidRDefault="00FB6138" w:rsidP="00FB6138">
      <w:pPr>
        <w:pStyle w:val="Standard"/>
        <w:rPr>
          <w:color w:val="auto"/>
          <w:lang w:val="pl-PL"/>
        </w:rPr>
      </w:pPr>
      <w:r w:rsidRPr="00063A7B">
        <w:rPr>
          <w:color w:val="auto"/>
          <w:spacing w:val="4"/>
          <w:sz w:val="18"/>
          <w:szCs w:val="18"/>
          <w:lang w:val="pl-PL"/>
        </w:rPr>
        <w:t>Tabela 1. Punkt zamarzania i stopień hydrolizy laktozy</w:t>
      </w:r>
    </w:p>
    <w:tbl>
      <w:tblPr>
        <w:tblW w:w="7189" w:type="dxa"/>
        <w:tblInd w:w="-108" w:type="dxa"/>
        <w:tblLayout w:type="fixed"/>
        <w:tblCellMar>
          <w:left w:w="10" w:type="dxa"/>
          <w:right w:w="10" w:type="dxa"/>
        </w:tblCellMar>
        <w:tblLook w:val="0000" w:firstRow="0" w:lastRow="0" w:firstColumn="0" w:lastColumn="0" w:noHBand="0" w:noVBand="0"/>
      </w:tblPr>
      <w:tblGrid>
        <w:gridCol w:w="365"/>
        <w:gridCol w:w="2284"/>
        <w:gridCol w:w="1501"/>
        <w:gridCol w:w="1200"/>
        <w:gridCol w:w="1839"/>
      </w:tblGrid>
      <w:tr w:rsidR="00063A7B" w:rsidRPr="00063A7B" w:rsidTr="0087482E">
        <w:tc>
          <w:tcPr>
            <w:tcW w:w="365" w:type="dxa"/>
            <w:tcBorders>
              <w:bottom w:val="single" w:sz="4" w:space="0" w:color="00000A"/>
              <w:right w:val="single" w:sz="4" w:space="0" w:color="00000A"/>
            </w:tcBorders>
            <w:tcMar>
              <w:top w:w="0" w:type="dxa"/>
              <w:left w:w="108" w:type="dxa"/>
              <w:bottom w:w="0" w:type="dxa"/>
              <w:right w:w="108" w:type="dxa"/>
            </w:tcMar>
          </w:tcPr>
          <w:p w:rsidR="00FB6138" w:rsidRPr="00063A7B" w:rsidRDefault="00FB6138" w:rsidP="0087482E">
            <w:pPr>
              <w:pStyle w:val="Standard"/>
              <w:jc w:val="center"/>
              <w:rPr>
                <w:color w:val="auto"/>
                <w:sz w:val="20"/>
                <w:szCs w:val="20"/>
                <w:lang w:val="pl-PL"/>
              </w:rPr>
            </w:pPr>
          </w:p>
        </w:tc>
        <w:tc>
          <w:tcPr>
            <w:tcW w:w="22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6138" w:rsidRPr="00063A7B" w:rsidRDefault="00FB6138" w:rsidP="0087482E">
            <w:pPr>
              <w:pStyle w:val="Standard"/>
              <w:jc w:val="center"/>
              <w:rPr>
                <w:color w:val="auto"/>
              </w:rPr>
            </w:pPr>
            <w:proofErr w:type="spellStart"/>
            <w:r w:rsidRPr="00063A7B">
              <w:rPr>
                <w:color w:val="auto"/>
                <w:sz w:val="20"/>
                <w:szCs w:val="20"/>
              </w:rPr>
              <w:t>Próbka</w:t>
            </w:r>
            <w:proofErr w:type="spellEnd"/>
          </w:p>
        </w:tc>
        <w:tc>
          <w:tcPr>
            <w:tcW w:w="150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6138" w:rsidRPr="00063A7B" w:rsidRDefault="00FB6138" w:rsidP="0087482E">
            <w:pPr>
              <w:pStyle w:val="Standard"/>
              <w:jc w:val="center"/>
              <w:rPr>
                <w:color w:val="auto"/>
              </w:rPr>
            </w:pPr>
            <w:proofErr w:type="spellStart"/>
            <w:r w:rsidRPr="00063A7B">
              <w:rPr>
                <w:color w:val="auto"/>
                <w:sz w:val="20"/>
                <w:szCs w:val="20"/>
              </w:rPr>
              <w:t>Punkt</w:t>
            </w:r>
            <w:proofErr w:type="spellEnd"/>
            <w:r w:rsidRPr="00063A7B">
              <w:rPr>
                <w:color w:val="auto"/>
                <w:sz w:val="20"/>
                <w:szCs w:val="20"/>
              </w:rPr>
              <w:t xml:space="preserve"> </w:t>
            </w:r>
            <w:proofErr w:type="spellStart"/>
            <w:r w:rsidRPr="00063A7B">
              <w:rPr>
                <w:color w:val="auto"/>
                <w:sz w:val="20"/>
                <w:szCs w:val="20"/>
              </w:rPr>
              <w:t>zamarzania</w:t>
            </w:r>
            <w:proofErr w:type="spellEnd"/>
            <w:r w:rsidRPr="00063A7B">
              <w:rPr>
                <w:color w:val="auto"/>
                <w:sz w:val="20"/>
                <w:szCs w:val="20"/>
              </w:rPr>
              <w:t xml:space="preserve"> (°C)</w:t>
            </w:r>
          </w:p>
        </w:tc>
        <w:tc>
          <w:tcPr>
            <w:tcW w:w="120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6138" w:rsidRPr="00063A7B" w:rsidRDefault="00FB6138" w:rsidP="0087482E">
            <w:pPr>
              <w:pStyle w:val="Standard"/>
              <w:jc w:val="center"/>
              <w:rPr>
                <w:color w:val="auto"/>
              </w:rPr>
            </w:pPr>
            <w:proofErr w:type="spellStart"/>
            <w:r w:rsidRPr="00063A7B">
              <w:rPr>
                <w:color w:val="auto"/>
                <w:sz w:val="20"/>
                <w:szCs w:val="20"/>
              </w:rPr>
              <w:t>Dodatek</w:t>
            </w:r>
            <w:proofErr w:type="spellEnd"/>
            <w:r w:rsidRPr="00063A7B">
              <w:rPr>
                <w:color w:val="auto"/>
                <w:sz w:val="20"/>
                <w:szCs w:val="20"/>
              </w:rPr>
              <w:t xml:space="preserve"> </w:t>
            </w:r>
            <w:proofErr w:type="spellStart"/>
            <w:r w:rsidRPr="00063A7B">
              <w:rPr>
                <w:color w:val="auto"/>
                <w:sz w:val="20"/>
                <w:szCs w:val="20"/>
              </w:rPr>
              <w:t>wody</w:t>
            </w:r>
            <w:proofErr w:type="spellEnd"/>
            <w:r w:rsidRPr="00063A7B">
              <w:rPr>
                <w:color w:val="auto"/>
                <w:sz w:val="20"/>
                <w:szCs w:val="20"/>
              </w:rPr>
              <w:t xml:space="preserve"> do</w:t>
            </w:r>
          </w:p>
          <w:p w:rsidR="00FB6138" w:rsidRPr="00063A7B" w:rsidRDefault="00FB6138" w:rsidP="0087482E">
            <w:pPr>
              <w:pStyle w:val="Standard"/>
              <w:jc w:val="center"/>
              <w:rPr>
                <w:color w:val="auto"/>
              </w:rPr>
            </w:pPr>
            <w:proofErr w:type="spellStart"/>
            <w:r w:rsidRPr="00063A7B">
              <w:rPr>
                <w:color w:val="auto"/>
                <w:sz w:val="20"/>
                <w:szCs w:val="20"/>
              </w:rPr>
              <w:t>mleka</w:t>
            </w:r>
            <w:proofErr w:type="spellEnd"/>
            <w:r w:rsidRPr="00063A7B">
              <w:rPr>
                <w:color w:val="auto"/>
                <w:sz w:val="20"/>
                <w:szCs w:val="20"/>
              </w:rPr>
              <w:t xml:space="preserve"> (%)</w:t>
            </w:r>
          </w:p>
        </w:tc>
        <w:tc>
          <w:tcPr>
            <w:tcW w:w="183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6138" w:rsidRPr="00063A7B" w:rsidRDefault="00FB6138" w:rsidP="0087482E">
            <w:pPr>
              <w:pStyle w:val="Standard"/>
              <w:jc w:val="center"/>
              <w:rPr>
                <w:color w:val="auto"/>
              </w:rPr>
            </w:pPr>
            <w:proofErr w:type="spellStart"/>
            <w:r w:rsidRPr="00063A7B">
              <w:rPr>
                <w:color w:val="auto"/>
                <w:sz w:val="20"/>
                <w:szCs w:val="20"/>
              </w:rPr>
              <w:t>Stopień</w:t>
            </w:r>
            <w:proofErr w:type="spellEnd"/>
            <w:r w:rsidRPr="00063A7B">
              <w:rPr>
                <w:color w:val="auto"/>
                <w:sz w:val="20"/>
                <w:szCs w:val="20"/>
              </w:rPr>
              <w:t xml:space="preserve"> </w:t>
            </w:r>
            <w:proofErr w:type="spellStart"/>
            <w:r w:rsidRPr="00063A7B">
              <w:rPr>
                <w:color w:val="auto"/>
                <w:sz w:val="20"/>
                <w:szCs w:val="20"/>
              </w:rPr>
              <w:t>hydrolizy</w:t>
            </w:r>
            <w:proofErr w:type="spellEnd"/>
            <w:r w:rsidRPr="00063A7B">
              <w:rPr>
                <w:color w:val="auto"/>
                <w:sz w:val="20"/>
                <w:szCs w:val="20"/>
              </w:rPr>
              <w:t xml:space="preserve"> </w:t>
            </w:r>
            <w:proofErr w:type="spellStart"/>
            <w:r w:rsidRPr="00063A7B">
              <w:rPr>
                <w:color w:val="auto"/>
                <w:sz w:val="20"/>
                <w:szCs w:val="20"/>
              </w:rPr>
              <w:t>laktozy</w:t>
            </w:r>
            <w:proofErr w:type="spellEnd"/>
            <w:r w:rsidRPr="00063A7B">
              <w:rPr>
                <w:color w:val="auto"/>
                <w:sz w:val="20"/>
                <w:szCs w:val="20"/>
              </w:rPr>
              <w:t xml:space="preserve"> SLH (%)</w:t>
            </w:r>
          </w:p>
        </w:tc>
      </w:tr>
      <w:tr w:rsidR="00063A7B" w:rsidRPr="00063A7B" w:rsidTr="0087482E">
        <w:tc>
          <w:tcPr>
            <w:tcW w:w="36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6138" w:rsidRPr="00063A7B" w:rsidRDefault="00FB6138" w:rsidP="0087482E">
            <w:pPr>
              <w:pStyle w:val="Standard"/>
              <w:jc w:val="left"/>
              <w:rPr>
                <w:color w:val="auto"/>
              </w:rPr>
            </w:pPr>
            <w:r w:rsidRPr="00063A7B">
              <w:rPr>
                <w:color w:val="auto"/>
                <w:sz w:val="20"/>
                <w:szCs w:val="20"/>
              </w:rPr>
              <w:t>1.</w:t>
            </w:r>
          </w:p>
        </w:tc>
        <w:tc>
          <w:tcPr>
            <w:tcW w:w="22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6138" w:rsidRPr="00063A7B" w:rsidRDefault="00FB6138" w:rsidP="0087482E">
            <w:pPr>
              <w:pStyle w:val="Standard"/>
              <w:jc w:val="left"/>
              <w:rPr>
                <w:color w:val="auto"/>
              </w:rPr>
            </w:pPr>
            <w:proofErr w:type="spellStart"/>
            <w:r w:rsidRPr="00063A7B">
              <w:rPr>
                <w:color w:val="auto"/>
                <w:sz w:val="20"/>
                <w:szCs w:val="20"/>
              </w:rPr>
              <w:t>Mleko</w:t>
            </w:r>
            <w:proofErr w:type="spellEnd"/>
            <w:r w:rsidRPr="00063A7B">
              <w:rPr>
                <w:color w:val="auto"/>
                <w:sz w:val="20"/>
                <w:szCs w:val="20"/>
              </w:rPr>
              <w:t xml:space="preserve"> </w:t>
            </w:r>
            <w:proofErr w:type="spellStart"/>
            <w:r w:rsidRPr="00063A7B">
              <w:rPr>
                <w:color w:val="auto"/>
                <w:sz w:val="20"/>
                <w:szCs w:val="20"/>
              </w:rPr>
              <w:t>zwykłe</w:t>
            </w:r>
            <w:proofErr w:type="spellEnd"/>
            <w:r w:rsidRPr="00063A7B">
              <w:rPr>
                <w:color w:val="auto"/>
                <w:sz w:val="20"/>
                <w:szCs w:val="20"/>
              </w:rPr>
              <w:t xml:space="preserve"> z </w:t>
            </w:r>
            <w:proofErr w:type="spellStart"/>
            <w:r w:rsidRPr="00063A7B">
              <w:rPr>
                <w:color w:val="auto"/>
                <w:sz w:val="20"/>
                <w:szCs w:val="20"/>
              </w:rPr>
              <w:t>laktozą</w:t>
            </w:r>
            <w:proofErr w:type="spellEnd"/>
          </w:p>
        </w:tc>
        <w:tc>
          <w:tcPr>
            <w:tcW w:w="150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6138" w:rsidRPr="00063A7B" w:rsidRDefault="00FB6138" w:rsidP="0087482E">
            <w:pPr>
              <w:pStyle w:val="Standard"/>
              <w:jc w:val="center"/>
              <w:rPr>
                <w:color w:val="auto"/>
              </w:rPr>
            </w:pPr>
            <w:r w:rsidRPr="00063A7B">
              <w:rPr>
                <w:color w:val="auto"/>
                <w:sz w:val="20"/>
                <w:szCs w:val="20"/>
              </w:rPr>
              <w:t>-0,524</w:t>
            </w:r>
          </w:p>
        </w:tc>
        <w:tc>
          <w:tcPr>
            <w:tcW w:w="120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6138" w:rsidRPr="00063A7B" w:rsidRDefault="00FB6138" w:rsidP="0087482E">
            <w:pPr>
              <w:pStyle w:val="Standard"/>
              <w:jc w:val="center"/>
              <w:rPr>
                <w:color w:val="auto"/>
              </w:rPr>
            </w:pPr>
            <w:r w:rsidRPr="00063A7B">
              <w:rPr>
                <w:color w:val="auto"/>
                <w:sz w:val="20"/>
                <w:szCs w:val="20"/>
              </w:rPr>
              <w:t>0,000</w:t>
            </w:r>
          </w:p>
        </w:tc>
        <w:tc>
          <w:tcPr>
            <w:tcW w:w="1839" w:type="dxa"/>
            <w:tcBorders>
              <w:top w:val="single" w:sz="4" w:space="0" w:color="00000A"/>
              <w:bottom w:val="single" w:sz="4" w:space="0" w:color="00000A"/>
              <w:right w:val="single" w:sz="4" w:space="0" w:color="00000A"/>
            </w:tcBorders>
            <w:tcMar>
              <w:top w:w="0" w:type="dxa"/>
              <w:left w:w="108" w:type="dxa"/>
              <w:bottom w:w="0" w:type="dxa"/>
              <w:right w:w="108" w:type="dxa"/>
            </w:tcMar>
            <w:vAlign w:val="center"/>
          </w:tcPr>
          <w:p w:rsidR="00FB6138" w:rsidRPr="00063A7B" w:rsidRDefault="00FB6138" w:rsidP="0087482E">
            <w:pPr>
              <w:pStyle w:val="Standard"/>
              <w:jc w:val="center"/>
              <w:rPr>
                <w:color w:val="auto"/>
                <w:sz w:val="20"/>
                <w:szCs w:val="20"/>
              </w:rPr>
            </w:pPr>
          </w:p>
        </w:tc>
      </w:tr>
      <w:tr w:rsidR="00063A7B" w:rsidRPr="00063A7B" w:rsidTr="0087482E">
        <w:tc>
          <w:tcPr>
            <w:tcW w:w="36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6138" w:rsidRPr="00063A7B" w:rsidRDefault="00FB6138" w:rsidP="0087482E">
            <w:pPr>
              <w:pStyle w:val="Standard"/>
              <w:jc w:val="left"/>
              <w:rPr>
                <w:color w:val="auto"/>
              </w:rPr>
            </w:pPr>
            <w:r w:rsidRPr="00063A7B">
              <w:rPr>
                <w:color w:val="auto"/>
                <w:sz w:val="20"/>
                <w:szCs w:val="20"/>
                <w:lang w:val="pl-PL"/>
              </w:rPr>
              <w:t>2.</w:t>
            </w:r>
          </w:p>
        </w:tc>
        <w:tc>
          <w:tcPr>
            <w:tcW w:w="22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6138" w:rsidRPr="00063A7B" w:rsidRDefault="00FB6138" w:rsidP="0087482E">
            <w:pPr>
              <w:pStyle w:val="Standard"/>
              <w:jc w:val="left"/>
              <w:rPr>
                <w:color w:val="auto"/>
                <w:lang w:val="pl-PL"/>
              </w:rPr>
            </w:pPr>
            <w:r w:rsidRPr="00063A7B">
              <w:rPr>
                <w:color w:val="auto"/>
                <w:sz w:val="20"/>
                <w:szCs w:val="20"/>
                <w:lang w:val="pl-PL"/>
              </w:rPr>
              <w:t>Mleko po hydrolizie laktozy w laboratorium</w:t>
            </w:r>
          </w:p>
        </w:tc>
        <w:tc>
          <w:tcPr>
            <w:tcW w:w="150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6138" w:rsidRPr="00063A7B" w:rsidRDefault="00FB6138" w:rsidP="0087482E">
            <w:pPr>
              <w:pStyle w:val="Standard"/>
              <w:jc w:val="center"/>
              <w:rPr>
                <w:color w:val="auto"/>
              </w:rPr>
            </w:pPr>
            <w:r w:rsidRPr="00063A7B">
              <w:rPr>
                <w:color w:val="auto"/>
                <w:sz w:val="20"/>
                <w:szCs w:val="20"/>
              </w:rPr>
              <w:t>-0,818</w:t>
            </w:r>
          </w:p>
        </w:tc>
        <w:tc>
          <w:tcPr>
            <w:tcW w:w="120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6138" w:rsidRPr="00063A7B" w:rsidRDefault="00FB6138" w:rsidP="0087482E">
            <w:pPr>
              <w:pStyle w:val="Standard"/>
              <w:jc w:val="center"/>
              <w:rPr>
                <w:color w:val="auto"/>
              </w:rPr>
            </w:pPr>
            <w:r w:rsidRPr="00063A7B">
              <w:rPr>
                <w:color w:val="auto"/>
                <w:sz w:val="20"/>
                <w:szCs w:val="20"/>
              </w:rPr>
              <w:t>0,000</w:t>
            </w:r>
          </w:p>
        </w:tc>
        <w:tc>
          <w:tcPr>
            <w:tcW w:w="1839" w:type="dxa"/>
            <w:tcBorders>
              <w:top w:val="single" w:sz="4" w:space="0" w:color="00000A"/>
              <w:bottom w:val="single" w:sz="4" w:space="0" w:color="00000A"/>
              <w:right w:val="single" w:sz="4" w:space="0" w:color="00000A"/>
            </w:tcBorders>
            <w:tcMar>
              <w:top w:w="0" w:type="dxa"/>
              <w:left w:w="108" w:type="dxa"/>
              <w:bottom w:w="0" w:type="dxa"/>
              <w:right w:w="108" w:type="dxa"/>
            </w:tcMar>
            <w:vAlign w:val="center"/>
          </w:tcPr>
          <w:p w:rsidR="00FB6138" w:rsidRPr="00063A7B" w:rsidRDefault="00FB6138" w:rsidP="0087482E">
            <w:pPr>
              <w:pStyle w:val="Standard"/>
              <w:jc w:val="center"/>
              <w:rPr>
                <w:color w:val="auto"/>
              </w:rPr>
            </w:pPr>
            <w:r w:rsidRPr="00063A7B">
              <w:rPr>
                <w:rFonts w:cs="F"/>
                <w:color w:val="auto"/>
                <w:sz w:val="20"/>
                <w:szCs w:val="20"/>
                <w:lang w:val="pl-PL"/>
              </w:rPr>
              <w:t>99,88</w:t>
            </w:r>
          </w:p>
        </w:tc>
      </w:tr>
      <w:tr w:rsidR="00063A7B" w:rsidRPr="00063A7B" w:rsidTr="0087482E">
        <w:tc>
          <w:tcPr>
            <w:tcW w:w="36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6138" w:rsidRPr="00063A7B" w:rsidRDefault="00FB6138" w:rsidP="0087482E">
            <w:pPr>
              <w:pStyle w:val="Standard"/>
              <w:jc w:val="left"/>
              <w:rPr>
                <w:color w:val="auto"/>
              </w:rPr>
            </w:pPr>
            <w:r w:rsidRPr="00063A7B">
              <w:rPr>
                <w:color w:val="auto"/>
                <w:sz w:val="20"/>
                <w:szCs w:val="20"/>
              </w:rPr>
              <w:t>3.</w:t>
            </w:r>
          </w:p>
        </w:tc>
        <w:tc>
          <w:tcPr>
            <w:tcW w:w="22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6138" w:rsidRPr="00063A7B" w:rsidRDefault="00FB6138" w:rsidP="0087482E">
            <w:pPr>
              <w:pStyle w:val="Standard"/>
              <w:jc w:val="left"/>
              <w:rPr>
                <w:color w:val="auto"/>
              </w:rPr>
            </w:pPr>
            <w:proofErr w:type="spellStart"/>
            <w:r w:rsidRPr="00063A7B">
              <w:rPr>
                <w:color w:val="auto"/>
                <w:sz w:val="20"/>
                <w:szCs w:val="20"/>
              </w:rPr>
              <w:t>Mleko</w:t>
            </w:r>
            <w:proofErr w:type="spellEnd"/>
            <w:r w:rsidRPr="00063A7B">
              <w:rPr>
                <w:color w:val="auto"/>
                <w:sz w:val="20"/>
                <w:szCs w:val="20"/>
              </w:rPr>
              <w:t xml:space="preserve"> bez </w:t>
            </w:r>
            <w:proofErr w:type="spellStart"/>
            <w:r w:rsidRPr="00063A7B">
              <w:rPr>
                <w:color w:val="auto"/>
                <w:sz w:val="20"/>
                <w:szCs w:val="20"/>
              </w:rPr>
              <w:t>laktozy</w:t>
            </w:r>
            <w:proofErr w:type="spellEnd"/>
          </w:p>
        </w:tc>
        <w:tc>
          <w:tcPr>
            <w:tcW w:w="150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6138" w:rsidRPr="00063A7B" w:rsidRDefault="00FB6138" w:rsidP="0087482E">
            <w:pPr>
              <w:pStyle w:val="Standard"/>
              <w:jc w:val="center"/>
              <w:rPr>
                <w:color w:val="auto"/>
              </w:rPr>
            </w:pPr>
            <w:r w:rsidRPr="00063A7B">
              <w:rPr>
                <w:color w:val="auto"/>
                <w:sz w:val="20"/>
                <w:szCs w:val="20"/>
              </w:rPr>
              <w:t>-0,815</w:t>
            </w:r>
          </w:p>
        </w:tc>
        <w:tc>
          <w:tcPr>
            <w:tcW w:w="120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6138" w:rsidRPr="00063A7B" w:rsidRDefault="00FB6138" w:rsidP="0087482E">
            <w:pPr>
              <w:pStyle w:val="Standard"/>
              <w:jc w:val="center"/>
              <w:rPr>
                <w:color w:val="auto"/>
              </w:rPr>
            </w:pPr>
            <w:r w:rsidRPr="00063A7B">
              <w:rPr>
                <w:color w:val="auto"/>
                <w:sz w:val="20"/>
                <w:szCs w:val="20"/>
              </w:rPr>
              <w:t>0,000</w:t>
            </w:r>
          </w:p>
        </w:tc>
        <w:tc>
          <w:tcPr>
            <w:tcW w:w="1839" w:type="dxa"/>
            <w:tcBorders>
              <w:top w:val="single" w:sz="4" w:space="0" w:color="00000A"/>
              <w:bottom w:val="single" w:sz="4" w:space="0" w:color="00000A"/>
              <w:right w:val="single" w:sz="4" w:space="0" w:color="00000A"/>
            </w:tcBorders>
            <w:tcMar>
              <w:top w:w="0" w:type="dxa"/>
              <w:left w:w="108" w:type="dxa"/>
              <w:bottom w:w="0" w:type="dxa"/>
              <w:right w:w="108" w:type="dxa"/>
            </w:tcMar>
            <w:vAlign w:val="center"/>
          </w:tcPr>
          <w:p w:rsidR="00FB6138" w:rsidRPr="00063A7B" w:rsidRDefault="00FB6138" w:rsidP="0087482E">
            <w:pPr>
              <w:pStyle w:val="Standard"/>
              <w:jc w:val="center"/>
              <w:rPr>
                <w:color w:val="auto"/>
              </w:rPr>
            </w:pPr>
            <w:r w:rsidRPr="00063A7B">
              <w:rPr>
                <w:color w:val="auto"/>
                <w:sz w:val="20"/>
                <w:szCs w:val="20"/>
                <w:lang w:val="pl-PL"/>
              </w:rPr>
              <w:t>98,85</w:t>
            </w:r>
          </w:p>
        </w:tc>
      </w:tr>
    </w:tbl>
    <w:p w:rsidR="00FB6138" w:rsidRPr="00063A7B" w:rsidRDefault="00FB6138" w:rsidP="00FB6138">
      <w:pPr>
        <w:pStyle w:val="rdo"/>
        <w:outlineLvl w:val="9"/>
        <w:rPr>
          <w:color w:val="auto"/>
        </w:rPr>
      </w:pPr>
      <w:r w:rsidRPr="00063A7B">
        <w:rPr>
          <w:color w:val="auto"/>
        </w:rPr>
        <w:t>Źródło: Opracowanie własne.</w:t>
      </w:r>
    </w:p>
    <w:p w:rsidR="00FB6138" w:rsidRPr="00063A7B" w:rsidRDefault="00FB6138" w:rsidP="00FB6138">
      <w:pPr>
        <w:pStyle w:val="Standard"/>
        <w:ind w:firstLine="397"/>
        <w:rPr>
          <w:color w:val="auto"/>
          <w:lang w:val="pl-PL"/>
        </w:rPr>
      </w:pPr>
      <w:r w:rsidRPr="00063A7B">
        <w:rPr>
          <w:color w:val="auto"/>
          <w:sz w:val="22"/>
          <w:szCs w:val="22"/>
          <w:lang w:val="pl-PL"/>
        </w:rPr>
        <w:t xml:space="preserve">Oznaczenie stopnia hydrolizy przeprowadzono  za pomocą krioskopu. Jest to metoda, która opiera się na założeniu, że prawo </w:t>
      </w:r>
      <w:proofErr w:type="spellStart"/>
      <w:r w:rsidRPr="00063A7B">
        <w:rPr>
          <w:color w:val="auto"/>
          <w:sz w:val="22"/>
          <w:szCs w:val="22"/>
          <w:lang w:val="pl-PL"/>
        </w:rPr>
        <w:t>Ruolta</w:t>
      </w:r>
      <w:proofErr w:type="spellEnd"/>
      <w:r w:rsidRPr="00063A7B">
        <w:rPr>
          <w:color w:val="auto"/>
          <w:sz w:val="22"/>
          <w:szCs w:val="22"/>
          <w:lang w:val="pl-PL"/>
        </w:rPr>
        <w:t xml:space="preserve"> stosuje się do zakresu stężeń cukrów występujących w mleku podczas enzymatycznej hydrolizy laktozy. Zatem słuszna jest zależność, informująca, że obniżenie temperatury zamarzania roztworu jest proporcjonalne do molarnego stężenia substancji rozpuszczonej [</w:t>
      </w:r>
      <w:proofErr w:type="spellStart"/>
      <w:r w:rsidRPr="00063A7B">
        <w:rPr>
          <w:color w:val="auto"/>
          <w:sz w:val="22"/>
          <w:szCs w:val="22"/>
          <w:lang w:val="pl-PL"/>
        </w:rPr>
        <w:t>Kycia</w:t>
      </w:r>
      <w:proofErr w:type="spellEnd"/>
      <w:r w:rsidRPr="00063A7B">
        <w:rPr>
          <w:color w:val="auto"/>
          <w:sz w:val="22"/>
          <w:szCs w:val="22"/>
          <w:lang w:val="pl-PL"/>
        </w:rPr>
        <w:t xml:space="preserve"> i </w:t>
      </w:r>
      <w:proofErr w:type="spellStart"/>
      <w:r w:rsidRPr="00063A7B">
        <w:rPr>
          <w:color w:val="auto"/>
          <w:sz w:val="22"/>
          <w:szCs w:val="22"/>
          <w:lang w:val="pl-PL"/>
        </w:rPr>
        <w:t>Zmarlicki</w:t>
      </w:r>
      <w:proofErr w:type="spellEnd"/>
      <w:r w:rsidRPr="00063A7B">
        <w:rPr>
          <w:color w:val="auto"/>
          <w:sz w:val="22"/>
          <w:szCs w:val="22"/>
          <w:lang w:val="pl-PL"/>
        </w:rPr>
        <w:t xml:space="preserve"> 2005]. Zgodnie z normą PN-A-86003 punkt zamarzania mleka krowiego nie powinien być wyższy niż -0,520°C. Wyniki wszystkich prób mieszczą się w normach (tab. 1)</w:t>
      </w:r>
      <w:r w:rsidRPr="00063A7B">
        <w:rPr>
          <w:color w:val="auto"/>
          <w:lang w:val="pl-PL"/>
        </w:rPr>
        <w:t xml:space="preserve">. </w:t>
      </w:r>
      <w:r w:rsidRPr="00063A7B">
        <w:rPr>
          <w:color w:val="auto"/>
          <w:sz w:val="22"/>
          <w:szCs w:val="22"/>
          <w:lang w:val="pl-PL"/>
        </w:rPr>
        <w:t>Uzyskane wyniki świadczą o podobnym stopniu hydrolizy mleka 2. (poddanego procesowi hydrolizy laktozy w warunkach laboratoryjnych) oraz mleka 3. (poddanego procesowi przemysłowemu).</w:t>
      </w:r>
    </w:p>
    <w:p w:rsidR="00FB6138" w:rsidRPr="00063A7B" w:rsidRDefault="00FB6138" w:rsidP="00FB6138">
      <w:pPr>
        <w:pStyle w:val="Standard"/>
        <w:ind w:firstLine="397"/>
        <w:rPr>
          <w:color w:val="auto"/>
          <w:sz w:val="22"/>
          <w:szCs w:val="22"/>
          <w:lang w:val="pl-PL"/>
        </w:rPr>
      </w:pPr>
    </w:p>
    <w:p w:rsidR="00FB6138" w:rsidRPr="00063A7B" w:rsidRDefault="00FB6138" w:rsidP="00FB6138">
      <w:pPr>
        <w:pStyle w:val="Standard"/>
        <w:ind w:firstLine="397"/>
        <w:rPr>
          <w:color w:val="auto"/>
          <w:lang w:val="pl-PL"/>
        </w:rPr>
      </w:pPr>
      <w:r w:rsidRPr="00063A7B">
        <w:rPr>
          <w:color w:val="auto"/>
          <w:sz w:val="22"/>
          <w:szCs w:val="22"/>
          <w:lang w:val="pl-PL"/>
        </w:rPr>
        <w:t>Produkty mleczne fermentowane są produktami, które ze względu na specyfikę wyrobu charakteryzują się konkretnym smakiem, zapachem oraz konsystencją. Synereza oraz barwa są charakterystyczne dla wszystkich wyrobów mlecznych. Zmiany w jogurtach oraz kefirach spowodowane są obecnością grup bakterii odpowiedzialnych za fermentację. Badanie miało  na celu ocenę wpływu zawartości laktozy na barwę, smak, zapach, konsystencję oraz synerezę w jogurtach oraz kefirach.</w:t>
      </w:r>
    </w:p>
    <w:p w:rsidR="00FB6138" w:rsidRPr="00063A7B" w:rsidRDefault="00FB6138" w:rsidP="00FB6138">
      <w:pPr>
        <w:pStyle w:val="Standard"/>
        <w:ind w:firstLine="397"/>
        <w:rPr>
          <w:color w:val="auto"/>
          <w:sz w:val="22"/>
          <w:szCs w:val="22"/>
          <w:lang w:val="pl-PL"/>
        </w:rPr>
      </w:pPr>
      <w:r w:rsidRPr="00063A7B">
        <w:rPr>
          <w:color w:val="auto"/>
          <w:sz w:val="22"/>
          <w:szCs w:val="22"/>
          <w:lang w:val="pl-PL"/>
        </w:rPr>
        <w:t xml:space="preserve">Oceniający za smak najbardziej typowy dla danego produktu uznali smak jogurtu z obniżoną zawartością laktozy w warunkach laboratoryjnych J1 (4,47). Nieznacznie odbiegała również ocena jogurtu z laktozą.  Zespół oceniający najlepiej ocenił zapach jogurtu z laktozą J0 (4,6), natomiast najgorzej oceniono zapach jogurtu z obniżoną zawartością laktozy J2 (3,13), ponieważ nie był typowy dla jogurtów naturalnych. Oceniający konsystencję najbardziej charakterystyczną dla danego produktu stwierdzili w jogurcie z obniżoną zawartością laktozy w warunkach laboratoryjnych J1 (4,73). Charakteryzowała się jednolitościom oraz gęstościom. Zbyt rzadki, z grudkami, z lekkimi skłaczeniami okazał się jogurt z obniżoną laktozą przemysłowo i oceniono go najniżej (3,27). Grupa oceniająca </w:t>
      </w:r>
      <w:r w:rsidRPr="00063A7B">
        <w:rPr>
          <w:color w:val="auto"/>
          <w:sz w:val="22"/>
          <w:szCs w:val="22"/>
          <w:lang w:val="pl-PL"/>
        </w:rPr>
        <w:lastRenderedPageBreak/>
        <w:t>wysoko oceniła wszystkie produkty pod względem synerezy (opływu serwatki), najlepiej pod tym względem oceniono jogurt naturalny bez laktozowy wyprodukowany metodą laboratoryjną J 1 (4,93).</w:t>
      </w:r>
    </w:p>
    <w:p w:rsidR="00FB6138" w:rsidRPr="00063A7B" w:rsidRDefault="00FB6138" w:rsidP="00FB6138">
      <w:pPr>
        <w:pStyle w:val="Standard"/>
        <w:ind w:firstLine="397"/>
        <w:rPr>
          <w:color w:val="auto"/>
          <w:lang w:val="pl-PL"/>
        </w:rPr>
      </w:pPr>
    </w:p>
    <w:p w:rsidR="00FB6138" w:rsidRPr="00063A7B" w:rsidRDefault="00FB6138" w:rsidP="00FB6138">
      <w:pPr>
        <w:pStyle w:val="Nagwek2"/>
        <w:rPr>
          <w:color w:val="auto"/>
        </w:rPr>
      </w:pPr>
      <w:r w:rsidRPr="00063A7B">
        <w:rPr>
          <w:color w:val="auto"/>
        </w:rPr>
        <w:t>Podsumowanie i wnioski</w:t>
      </w:r>
    </w:p>
    <w:p w:rsidR="00FB6138" w:rsidRPr="00063A7B" w:rsidRDefault="00FB6138" w:rsidP="00FB6138">
      <w:pPr>
        <w:pStyle w:val="Standard"/>
        <w:ind w:firstLine="397"/>
        <w:rPr>
          <w:color w:val="auto"/>
          <w:lang w:val="pl-PL"/>
        </w:rPr>
      </w:pPr>
      <w:r w:rsidRPr="00063A7B">
        <w:rPr>
          <w:color w:val="auto"/>
          <w:sz w:val="22"/>
          <w:szCs w:val="22"/>
          <w:lang w:val="pl-PL"/>
        </w:rPr>
        <w:t>Produkty mleczne  fermentowane wykorzystane do badań dały możliwość do zweryfikowania hipotezy badawczej oraz zrealizowania celu pracy badawczej. Wszystkie produkty wykazały barwę charakterystyczną dla danej grupy produktów. Najlepiej ocenianą barwę posiadał kefir z laktozą. Smak kefiru z obniżoną zawartością laktozy okazał się najgorszy, najprawdopodobniej z powodu nietypowego dla kefiru, lekko słodkiego, smaku. Pozostałe produkty ocenione były jako typowe. Zawartość laktozy najbardziej zróżnicowała wyniki oceny zapachu. Zawartość laktozy nie ma wpływu na konsystencję produktów. Synereza we wszystkich produktach mlecznych fermentowanych oceniona została jako typowa i charakterystyczna.</w:t>
      </w:r>
    </w:p>
    <w:p w:rsidR="00FB6138" w:rsidRPr="00063A7B" w:rsidRDefault="00FB6138" w:rsidP="00FB6138">
      <w:pPr>
        <w:pStyle w:val="Standard"/>
        <w:ind w:firstLine="397"/>
        <w:rPr>
          <w:color w:val="auto"/>
          <w:lang w:val="pl-PL"/>
        </w:rPr>
      </w:pPr>
      <w:r w:rsidRPr="00063A7B">
        <w:rPr>
          <w:color w:val="auto"/>
          <w:sz w:val="22"/>
          <w:szCs w:val="22"/>
          <w:lang w:val="pl-PL"/>
        </w:rPr>
        <w:t xml:space="preserve">Według badań </w:t>
      </w:r>
      <w:proofErr w:type="spellStart"/>
      <w:r w:rsidRPr="00063A7B">
        <w:rPr>
          <w:color w:val="auto"/>
          <w:sz w:val="22"/>
          <w:szCs w:val="22"/>
          <w:lang w:val="pl-PL"/>
        </w:rPr>
        <w:t>ph</w:t>
      </w:r>
      <w:proofErr w:type="spellEnd"/>
      <w:r w:rsidRPr="00063A7B">
        <w:rPr>
          <w:color w:val="auto"/>
          <w:sz w:val="22"/>
          <w:szCs w:val="22"/>
          <w:lang w:val="pl-PL"/>
        </w:rPr>
        <w:t xml:space="preserve"> dla jogurtu naturalnego wynosi 4,3-4,4. Jogurt, jest z natury bardziej kwaśny niż mleko. Dzieje się tak, ponieważ bakterie przekształcają laktozę w kwas mlekowy, co ostatecznie zwiększa kwasowość produktu końcowego. Obniżenie </w:t>
      </w:r>
      <w:proofErr w:type="spellStart"/>
      <w:r w:rsidRPr="00063A7B">
        <w:rPr>
          <w:color w:val="auto"/>
          <w:sz w:val="22"/>
          <w:szCs w:val="22"/>
          <w:lang w:val="pl-PL"/>
        </w:rPr>
        <w:t>pH</w:t>
      </w:r>
      <w:proofErr w:type="spellEnd"/>
      <w:r w:rsidRPr="00063A7B">
        <w:rPr>
          <w:color w:val="auto"/>
          <w:sz w:val="22"/>
          <w:szCs w:val="22"/>
          <w:lang w:val="pl-PL"/>
        </w:rPr>
        <w:t xml:space="preserve"> może być powodowane przez produkty reakcji </w:t>
      </w:r>
      <w:proofErr w:type="spellStart"/>
      <w:r w:rsidRPr="00063A7B">
        <w:rPr>
          <w:color w:val="auto"/>
          <w:sz w:val="22"/>
          <w:szCs w:val="22"/>
          <w:lang w:val="pl-PL"/>
        </w:rPr>
        <w:t>Mailarda</w:t>
      </w:r>
      <w:proofErr w:type="spellEnd"/>
      <w:r w:rsidRPr="00063A7B">
        <w:rPr>
          <w:color w:val="auto"/>
          <w:sz w:val="22"/>
          <w:szCs w:val="22"/>
          <w:lang w:val="pl-PL"/>
        </w:rPr>
        <w:t xml:space="preserve"> takie jak kwasy organiczne oraz uwolnione jony h</w:t>
      </w:r>
      <w:r w:rsidRPr="00063A7B">
        <w:rPr>
          <w:color w:val="auto"/>
          <w:sz w:val="22"/>
          <w:szCs w:val="22"/>
          <w:vertAlign w:val="superscript"/>
          <w:lang w:val="pl-PL"/>
        </w:rPr>
        <w:t>+</w:t>
      </w:r>
      <w:r w:rsidRPr="00063A7B">
        <w:rPr>
          <w:color w:val="auto"/>
          <w:sz w:val="22"/>
          <w:szCs w:val="22"/>
          <w:lang w:val="pl-PL"/>
        </w:rPr>
        <w:t xml:space="preserve"> z grup aminowych, które reagują z grupami karbonylowymi.</w:t>
      </w:r>
    </w:p>
    <w:p w:rsidR="00FB6138" w:rsidRPr="00063A7B" w:rsidRDefault="00FB6138" w:rsidP="00FB6138">
      <w:pPr>
        <w:pStyle w:val="Nagwek2"/>
        <w:rPr>
          <w:color w:val="auto"/>
          <w:lang w:val="en-US"/>
        </w:rPr>
      </w:pPr>
      <w:proofErr w:type="spellStart"/>
      <w:r w:rsidRPr="00063A7B">
        <w:rPr>
          <w:color w:val="auto"/>
          <w:lang w:val="en-US"/>
        </w:rPr>
        <w:t>Literatura</w:t>
      </w:r>
      <w:proofErr w:type="spellEnd"/>
    </w:p>
    <w:p w:rsidR="00FB6138" w:rsidRPr="00063A7B" w:rsidRDefault="00FB6138" w:rsidP="00FB6138">
      <w:pPr>
        <w:pStyle w:val="Literatura"/>
        <w:rPr>
          <w:color w:val="auto"/>
          <w:lang w:val="en-US"/>
        </w:rPr>
      </w:pPr>
      <w:r w:rsidRPr="00063A7B">
        <w:rPr>
          <w:color w:val="auto"/>
          <w:lang w:val="en-US"/>
        </w:rPr>
        <w:t xml:space="preserve">Ahmed Z., Wang Y., Ahmad A., Khan S.T., </w:t>
      </w:r>
      <w:proofErr w:type="spellStart"/>
      <w:r w:rsidRPr="00063A7B">
        <w:rPr>
          <w:color w:val="auto"/>
          <w:lang w:val="en-US"/>
        </w:rPr>
        <w:t>Nisa</w:t>
      </w:r>
      <w:proofErr w:type="spellEnd"/>
      <w:r w:rsidRPr="00063A7B">
        <w:rPr>
          <w:color w:val="auto"/>
          <w:lang w:val="en-US"/>
        </w:rPr>
        <w:t xml:space="preserve"> M., Ahmad H., </w:t>
      </w:r>
      <w:proofErr w:type="spellStart"/>
      <w:r w:rsidRPr="00063A7B">
        <w:rPr>
          <w:color w:val="auto"/>
          <w:lang w:val="en-US"/>
        </w:rPr>
        <w:t>Afreen</w:t>
      </w:r>
      <w:proofErr w:type="spellEnd"/>
      <w:r w:rsidRPr="00063A7B">
        <w:rPr>
          <w:color w:val="auto"/>
          <w:lang w:val="en-US"/>
        </w:rPr>
        <w:t xml:space="preserve"> A., 2013, Kefir and Health: A Contemporary Perspective Critical Reviews in Food Science and Nutrition, 53(5), 422-434  DOI: 10.1080/10408398.2010.540360.</w:t>
      </w:r>
    </w:p>
    <w:p w:rsidR="00FB6138" w:rsidRPr="00063A7B" w:rsidRDefault="00FB6138" w:rsidP="00FB6138">
      <w:pPr>
        <w:pStyle w:val="Literatura"/>
        <w:rPr>
          <w:color w:val="auto"/>
          <w:lang w:val="en-US"/>
        </w:rPr>
      </w:pPr>
      <w:proofErr w:type="spellStart"/>
      <w:r w:rsidRPr="00063A7B">
        <w:rPr>
          <w:color w:val="auto"/>
          <w:lang w:val="en-US"/>
        </w:rPr>
        <w:t>Anonim</w:t>
      </w:r>
      <w:proofErr w:type="spellEnd"/>
      <w:r w:rsidRPr="00063A7B">
        <w:rPr>
          <w:color w:val="auto"/>
          <w:lang w:val="en-US"/>
        </w:rPr>
        <w:t>, 1998, Functional food science in Europe, British Journal of Nutrition (80), 3-4.</w:t>
      </w:r>
    </w:p>
    <w:p w:rsidR="00FB6138" w:rsidRPr="00063A7B" w:rsidRDefault="00FB6138" w:rsidP="00FB6138">
      <w:pPr>
        <w:pStyle w:val="Literatura"/>
        <w:rPr>
          <w:color w:val="auto"/>
        </w:rPr>
      </w:pPr>
      <w:r w:rsidRPr="00063A7B">
        <w:rPr>
          <w:color w:val="auto"/>
        </w:rPr>
        <w:t xml:space="preserve">Baranowska M., 2009, Właściwości fizykochemiczne kefiru i </w:t>
      </w:r>
      <w:proofErr w:type="spellStart"/>
      <w:r w:rsidRPr="00063A7B">
        <w:rPr>
          <w:color w:val="auto"/>
        </w:rPr>
        <w:t>biokefiru</w:t>
      </w:r>
      <w:proofErr w:type="spellEnd"/>
      <w:r w:rsidRPr="00063A7B">
        <w:rPr>
          <w:color w:val="auto"/>
        </w:rPr>
        <w:t xml:space="preserve">, Wydział Nauki o Żywności, Uniwersytet </w:t>
      </w:r>
      <w:proofErr w:type="spellStart"/>
      <w:r w:rsidRPr="00063A7B">
        <w:rPr>
          <w:color w:val="auto"/>
        </w:rPr>
        <w:t>WarmińskO</w:t>
      </w:r>
      <w:proofErr w:type="spellEnd"/>
      <w:r w:rsidRPr="00063A7B">
        <w:rPr>
          <w:color w:val="auto"/>
        </w:rPr>
        <w:t>-Mazurski, Olsztyn, (48), 18-20.</w:t>
      </w:r>
    </w:p>
    <w:p w:rsidR="00FB6138" w:rsidRPr="00063A7B" w:rsidRDefault="00FB6138" w:rsidP="00FB6138">
      <w:pPr>
        <w:pStyle w:val="Literatura"/>
        <w:rPr>
          <w:color w:val="auto"/>
        </w:rPr>
      </w:pPr>
      <w:proofErr w:type="spellStart"/>
      <w:r w:rsidRPr="00063A7B">
        <w:rPr>
          <w:color w:val="auto"/>
        </w:rPr>
        <w:t>Budsławski</w:t>
      </w:r>
      <w:proofErr w:type="spellEnd"/>
      <w:r w:rsidRPr="00063A7B">
        <w:rPr>
          <w:color w:val="auto"/>
        </w:rPr>
        <w:t xml:space="preserve"> J., 1971, Zarys chemii mleka, Państwowe Wydawnictwo Rolnicze i Leśne, Warszawa.</w:t>
      </w:r>
    </w:p>
    <w:p w:rsidR="00FB6138" w:rsidRPr="00063A7B" w:rsidRDefault="00FB6138" w:rsidP="00FB6138">
      <w:pPr>
        <w:pStyle w:val="Literatura"/>
        <w:rPr>
          <w:color w:val="auto"/>
          <w:lang w:val="en-US"/>
        </w:rPr>
      </w:pPr>
      <w:r w:rsidRPr="00063A7B">
        <w:rPr>
          <w:color w:val="auto"/>
          <w:lang w:val="en-US"/>
        </w:rPr>
        <w:t xml:space="preserve">Fernandez M.A., </w:t>
      </w:r>
      <w:proofErr w:type="spellStart"/>
      <w:r w:rsidRPr="00063A7B">
        <w:rPr>
          <w:color w:val="auto"/>
          <w:lang w:val="en-US"/>
        </w:rPr>
        <w:t>Marett</w:t>
      </w:r>
      <w:proofErr w:type="spellEnd"/>
      <w:r w:rsidRPr="00063A7B">
        <w:rPr>
          <w:color w:val="auto"/>
          <w:lang w:val="en-US"/>
        </w:rPr>
        <w:t xml:space="preserve"> A., 2017, Potential Health Benefits of Combining </w:t>
      </w:r>
      <w:proofErr w:type="spellStart"/>
      <w:r w:rsidRPr="00063A7B">
        <w:rPr>
          <w:color w:val="auto"/>
          <w:lang w:val="en-US"/>
        </w:rPr>
        <w:t>Yogurtand</w:t>
      </w:r>
      <w:proofErr w:type="spellEnd"/>
      <w:r w:rsidRPr="00063A7B">
        <w:rPr>
          <w:color w:val="auto"/>
          <w:lang w:val="en-US"/>
        </w:rPr>
        <w:t xml:space="preserve"> Fruits Based on Their </w:t>
      </w:r>
      <w:proofErr w:type="spellStart"/>
      <w:r w:rsidRPr="00063A7B">
        <w:rPr>
          <w:color w:val="auto"/>
          <w:lang w:val="en-US"/>
        </w:rPr>
        <w:t>Probioticand</w:t>
      </w:r>
      <w:proofErr w:type="spellEnd"/>
      <w:r w:rsidRPr="00063A7B">
        <w:rPr>
          <w:color w:val="auto"/>
          <w:lang w:val="en-US"/>
        </w:rPr>
        <w:t xml:space="preserve"> Prebiotic Properties, Advances  in  Nutrition, 8(Suppl), 155S–164S. DOI:10.3945/an.115.011114.Gasmalla M.A.A., </w:t>
      </w:r>
      <w:proofErr w:type="spellStart"/>
      <w:r w:rsidRPr="00063A7B">
        <w:rPr>
          <w:color w:val="auto"/>
          <w:lang w:val="en-US"/>
        </w:rPr>
        <w:t>Tessema</w:t>
      </w:r>
      <w:proofErr w:type="spellEnd"/>
      <w:r w:rsidRPr="00063A7B">
        <w:rPr>
          <w:color w:val="auto"/>
          <w:lang w:val="en-US"/>
        </w:rPr>
        <w:t xml:space="preserve"> H.A., </w:t>
      </w:r>
      <w:proofErr w:type="spellStart"/>
      <w:r w:rsidRPr="00063A7B">
        <w:rPr>
          <w:color w:val="auto"/>
          <w:lang w:val="en-US"/>
        </w:rPr>
        <w:t>Salaheldin</w:t>
      </w:r>
      <w:proofErr w:type="spellEnd"/>
      <w:r w:rsidRPr="00063A7B">
        <w:rPr>
          <w:color w:val="auto"/>
          <w:lang w:val="en-US"/>
        </w:rPr>
        <w:t xml:space="preserve"> A., </w:t>
      </w:r>
      <w:proofErr w:type="spellStart"/>
      <w:r w:rsidRPr="00063A7B">
        <w:rPr>
          <w:color w:val="auto"/>
          <w:lang w:val="en-US"/>
        </w:rPr>
        <w:t>Alahmad</w:t>
      </w:r>
      <w:proofErr w:type="spellEnd"/>
      <w:r w:rsidRPr="00063A7B">
        <w:rPr>
          <w:color w:val="auto"/>
          <w:lang w:val="en-US"/>
        </w:rPr>
        <w:t xml:space="preserve"> K., </w:t>
      </w:r>
      <w:proofErr w:type="spellStart"/>
      <w:r w:rsidRPr="00063A7B">
        <w:rPr>
          <w:color w:val="auto"/>
          <w:lang w:val="en-US"/>
        </w:rPr>
        <w:t>Hassanin</w:t>
      </w:r>
      <w:proofErr w:type="spellEnd"/>
      <w:r w:rsidRPr="00063A7B">
        <w:rPr>
          <w:color w:val="auto"/>
          <w:lang w:val="en-US"/>
        </w:rPr>
        <w:t xml:space="preserve"> H.A.M., </w:t>
      </w:r>
      <w:proofErr w:type="spellStart"/>
      <w:r w:rsidRPr="00063A7B">
        <w:rPr>
          <w:color w:val="auto"/>
          <w:lang w:val="en-US"/>
        </w:rPr>
        <w:t>Aboshora</w:t>
      </w:r>
      <w:proofErr w:type="spellEnd"/>
      <w:r w:rsidRPr="00063A7B">
        <w:rPr>
          <w:color w:val="auto"/>
          <w:lang w:val="en-US"/>
        </w:rPr>
        <w:t xml:space="preserve"> W., 2017, Health benefits of milk and functional dairy products, MOJ Food Process Technol. 2017;4(4):108‒111. DOI: 10.15406/mojfpt.2017.04.0009.</w:t>
      </w:r>
    </w:p>
    <w:p w:rsidR="00FB6138" w:rsidRPr="00063A7B" w:rsidRDefault="00FB6138" w:rsidP="00FB6138">
      <w:pPr>
        <w:pStyle w:val="Literatura"/>
        <w:rPr>
          <w:color w:val="auto"/>
          <w:lang w:val="en-US"/>
        </w:rPr>
      </w:pPr>
      <w:r w:rsidRPr="00063A7B">
        <w:rPr>
          <w:color w:val="auto"/>
          <w:lang w:val="en-US"/>
        </w:rPr>
        <w:t xml:space="preserve">Goldberg I., 1994, Functional food, designer foods, pharmafoods, nutraceuticals, </w:t>
      </w:r>
      <w:proofErr w:type="spellStart"/>
      <w:r w:rsidRPr="00063A7B">
        <w:rPr>
          <w:color w:val="auto"/>
          <w:lang w:val="en-US"/>
        </w:rPr>
        <w:t>Champan</w:t>
      </w:r>
      <w:proofErr w:type="spellEnd"/>
      <w:r w:rsidRPr="00063A7B">
        <w:rPr>
          <w:color w:val="auto"/>
          <w:lang w:val="en-US"/>
        </w:rPr>
        <w:t xml:space="preserve"> &amp; Hall, New York.</w:t>
      </w:r>
    </w:p>
    <w:p w:rsidR="00FB6138" w:rsidRPr="00063A7B" w:rsidRDefault="00FB6138" w:rsidP="00FB6138">
      <w:pPr>
        <w:pStyle w:val="Literatura"/>
        <w:rPr>
          <w:color w:val="auto"/>
          <w:lang w:val="en-US"/>
        </w:rPr>
      </w:pPr>
      <w:r w:rsidRPr="00063A7B">
        <w:rPr>
          <w:color w:val="auto"/>
        </w:rPr>
        <w:t xml:space="preserve">Janicki A., 1999, Żywność wygodna i żywność funkcjonalna. </w:t>
      </w:r>
      <w:proofErr w:type="spellStart"/>
      <w:r w:rsidRPr="00063A7B">
        <w:rPr>
          <w:color w:val="auto"/>
          <w:lang w:val="en-US"/>
        </w:rPr>
        <w:t>Wydawnictwo</w:t>
      </w:r>
      <w:proofErr w:type="spellEnd"/>
      <w:r w:rsidRPr="00063A7B">
        <w:rPr>
          <w:color w:val="auto"/>
          <w:lang w:val="en-US"/>
        </w:rPr>
        <w:t xml:space="preserve"> </w:t>
      </w:r>
      <w:proofErr w:type="spellStart"/>
      <w:r w:rsidRPr="00063A7B">
        <w:rPr>
          <w:color w:val="auto"/>
          <w:lang w:val="en-US"/>
        </w:rPr>
        <w:t>Naukowo-Techniczne</w:t>
      </w:r>
      <w:proofErr w:type="spellEnd"/>
      <w:r w:rsidRPr="00063A7B">
        <w:rPr>
          <w:color w:val="auto"/>
          <w:lang w:val="en-US"/>
        </w:rPr>
        <w:t>, Warszawa.</w:t>
      </w:r>
    </w:p>
    <w:p w:rsidR="00FB6138" w:rsidRPr="00063A7B" w:rsidRDefault="00FB6138" w:rsidP="00FB6138">
      <w:pPr>
        <w:pStyle w:val="Literatura"/>
        <w:rPr>
          <w:color w:val="auto"/>
        </w:rPr>
      </w:pPr>
      <w:r w:rsidRPr="00063A7B">
        <w:rPr>
          <w:color w:val="auto"/>
          <w:lang w:val="en-US"/>
        </w:rPr>
        <w:t xml:space="preserve">John S.M. </w:t>
      </w:r>
      <w:proofErr w:type="spellStart"/>
      <w:r w:rsidRPr="00063A7B">
        <w:rPr>
          <w:color w:val="auto"/>
          <w:lang w:val="en-US"/>
        </w:rPr>
        <w:t>Deeseenthum</w:t>
      </w:r>
      <w:proofErr w:type="spellEnd"/>
      <w:r w:rsidRPr="00063A7B">
        <w:rPr>
          <w:color w:val="auto"/>
          <w:lang w:val="en-US"/>
        </w:rPr>
        <w:t xml:space="preserve"> S., 2015, Properties and benefits of kefir -A review, </w:t>
      </w:r>
      <w:proofErr w:type="spellStart"/>
      <w:r w:rsidRPr="00063A7B">
        <w:rPr>
          <w:color w:val="auto"/>
          <w:lang w:val="en-US"/>
        </w:rPr>
        <w:t>Songklanakarin</w:t>
      </w:r>
      <w:proofErr w:type="spellEnd"/>
      <w:r w:rsidRPr="00063A7B">
        <w:rPr>
          <w:color w:val="auto"/>
          <w:lang w:val="en-US"/>
        </w:rPr>
        <w:t xml:space="preserve"> J. Sci. </w:t>
      </w:r>
      <w:r w:rsidRPr="00063A7B">
        <w:rPr>
          <w:color w:val="auto"/>
        </w:rPr>
        <w:t>Technol.37 (3), 275-282.Karwowska M. Gustaw M., 2015, Trendy w żywieniu człowieka,  Wydawnictwo Naukowe PTTŻ, Kraków, 355-366.</w:t>
      </w:r>
    </w:p>
    <w:p w:rsidR="00FB6138" w:rsidRPr="00063A7B" w:rsidRDefault="00FB6138" w:rsidP="00FB6138">
      <w:pPr>
        <w:pStyle w:val="Literatura"/>
        <w:rPr>
          <w:color w:val="auto"/>
          <w:lang w:val="en-US"/>
        </w:rPr>
      </w:pPr>
      <w:proofErr w:type="spellStart"/>
      <w:r w:rsidRPr="00063A7B">
        <w:rPr>
          <w:color w:val="auto"/>
          <w:lang w:val="en-US"/>
        </w:rPr>
        <w:t>Kesenkas</w:t>
      </w:r>
      <w:proofErr w:type="spellEnd"/>
      <w:r w:rsidRPr="00063A7B">
        <w:rPr>
          <w:color w:val="auto"/>
          <w:lang w:val="en-US"/>
        </w:rPr>
        <w:t xml:space="preserve"> H., </w:t>
      </w:r>
      <w:proofErr w:type="spellStart"/>
      <w:r w:rsidRPr="00063A7B">
        <w:rPr>
          <w:color w:val="auto"/>
          <w:lang w:val="en-US"/>
        </w:rPr>
        <w:t>Yerlikaya</w:t>
      </w:r>
      <w:proofErr w:type="spellEnd"/>
      <w:r w:rsidRPr="00063A7B">
        <w:rPr>
          <w:color w:val="auto"/>
          <w:lang w:val="en-US"/>
        </w:rPr>
        <w:t xml:space="preserve"> O., Ozer E., 2013, A functional milk beverage: Kefir, Agro Food Industry Hi Tech, 24(6), 53-55.</w:t>
      </w:r>
    </w:p>
    <w:p w:rsidR="00FB6138" w:rsidRPr="00063A7B" w:rsidRDefault="00FB6138" w:rsidP="00FB6138">
      <w:pPr>
        <w:pStyle w:val="Literatura"/>
        <w:rPr>
          <w:color w:val="auto"/>
        </w:rPr>
      </w:pPr>
      <w:r w:rsidRPr="00063A7B">
        <w:rPr>
          <w:color w:val="auto"/>
        </w:rPr>
        <w:t>Korotkiewicz-Kaczmarska E., Kaczmarski M., 2013, Alergia i nietolerancja pokarmowa. Mleko i inne pokarmy, Help-MED, Kraków, s.169-187.</w:t>
      </w:r>
    </w:p>
    <w:p w:rsidR="00FB6138" w:rsidRPr="00063A7B" w:rsidRDefault="00FB6138" w:rsidP="00FB6138">
      <w:pPr>
        <w:pStyle w:val="Literatura"/>
        <w:rPr>
          <w:color w:val="auto"/>
        </w:rPr>
      </w:pPr>
      <w:proofErr w:type="spellStart"/>
      <w:r w:rsidRPr="00063A7B">
        <w:rPr>
          <w:color w:val="auto"/>
        </w:rPr>
        <w:t>Kunachowicz</w:t>
      </w:r>
      <w:proofErr w:type="spellEnd"/>
      <w:r w:rsidRPr="00063A7B">
        <w:rPr>
          <w:color w:val="auto"/>
        </w:rPr>
        <w:t xml:space="preserve"> H., 2017, Tabele składu i wartości odżywczych, PZWL, Warszawa.</w:t>
      </w:r>
    </w:p>
    <w:p w:rsidR="00FB6138" w:rsidRPr="00063A7B" w:rsidRDefault="00FB6138" w:rsidP="00FB6138">
      <w:pPr>
        <w:pStyle w:val="Literatura"/>
        <w:rPr>
          <w:color w:val="auto"/>
          <w:lang w:val="en-US"/>
        </w:rPr>
      </w:pPr>
      <w:r w:rsidRPr="00063A7B">
        <w:rPr>
          <w:color w:val="auto"/>
          <w:lang w:val="en-US"/>
        </w:rPr>
        <w:t>Martirosyan D.M., Singh J., 2015, A new definition of functional food by FFC: what makes a new definition unique?, Functional Foods in Health and Disease, 5(6):209-223.</w:t>
      </w:r>
    </w:p>
    <w:p w:rsidR="00FB6138" w:rsidRPr="00063A7B" w:rsidRDefault="00FB6138" w:rsidP="00FB6138">
      <w:pPr>
        <w:pStyle w:val="Literatura"/>
        <w:rPr>
          <w:color w:val="auto"/>
        </w:rPr>
      </w:pPr>
      <w:r w:rsidRPr="00063A7B">
        <w:rPr>
          <w:color w:val="auto"/>
        </w:rPr>
        <w:t>Norma PN-83/A-86061.</w:t>
      </w:r>
    </w:p>
    <w:p w:rsidR="00FB6138" w:rsidRPr="00063A7B" w:rsidRDefault="00FB6138" w:rsidP="00FB6138">
      <w:pPr>
        <w:pStyle w:val="Literatura"/>
        <w:rPr>
          <w:color w:val="auto"/>
        </w:rPr>
      </w:pPr>
      <w:r w:rsidRPr="00063A7B">
        <w:rPr>
          <w:color w:val="auto"/>
        </w:rPr>
        <w:t>Norma PN-A-86003.</w:t>
      </w:r>
    </w:p>
    <w:p w:rsidR="00FB6138" w:rsidRPr="00063A7B" w:rsidRDefault="00FB6138" w:rsidP="00FB6138">
      <w:pPr>
        <w:pStyle w:val="Literatura"/>
        <w:rPr>
          <w:color w:val="auto"/>
          <w:lang w:val="en-US"/>
        </w:rPr>
      </w:pPr>
      <w:proofErr w:type="spellStart"/>
      <w:r w:rsidRPr="00063A7B">
        <w:rPr>
          <w:color w:val="auto"/>
          <w:lang w:val="en-US"/>
        </w:rPr>
        <w:t>Pszczola</w:t>
      </w:r>
      <w:proofErr w:type="spellEnd"/>
      <w:r w:rsidRPr="00063A7B">
        <w:rPr>
          <w:color w:val="auto"/>
          <w:lang w:val="en-US"/>
        </w:rPr>
        <w:t xml:space="preserve"> D.E., 1993, Designer foods: an evolving concept,, Food Technology, (3), 92-99.</w:t>
      </w:r>
    </w:p>
    <w:p w:rsidR="00FB6138" w:rsidRPr="00063A7B" w:rsidRDefault="00FB6138" w:rsidP="00FB6138">
      <w:pPr>
        <w:pStyle w:val="Literatura"/>
        <w:rPr>
          <w:color w:val="auto"/>
          <w:lang w:val="en-US"/>
        </w:rPr>
      </w:pPr>
      <w:r w:rsidRPr="00063A7B">
        <w:rPr>
          <w:color w:val="auto"/>
        </w:rPr>
        <w:t xml:space="preserve">Zaręba D., Ziarno M., </w:t>
      </w:r>
      <w:proofErr w:type="spellStart"/>
      <w:r w:rsidRPr="00063A7B">
        <w:rPr>
          <w:color w:val="auto"/>
        </w:rPr>
        <w:t>Obiedziński</w:t>
      </w:r>
      <w:proofErr w:type="spellEnd"/>
      <w:r w:rsidRPr="00063A7B">
        <w:rPr>
          <w:color w:val="auto"/>
        </w:rPr>
        <w:t xml:space="preserve"> M., </w:t>
      </w:r>
      <w:proofErr w:type="spellStart"/>
      <w:r w:rsidRPr="00063A7B">
        <w:rPr>
          <w:color w:val="auto"/>
        </w:rPr>
        <w:t>Bzducha</w:t>
      </w:r>
      <w:proofErr w:type="spellEnd"/>
      <w:r w:rsidRPr="00063A7B">
        <w:rPr>
          <w:color w:val="auto"/>
        </w:rPr>
        <w:t xml:space="preserve"> A., 2008, Profil lotnych związków modeli mleka niefermentowanego i fermentowanego przez bakterie jogurtowe, ŻYWNOŚĆ. </w:t>
      </w:r>
      <w:proofErr w:type="spellStart"/>
      <w:r w:rsidRPr="00063A7B">
        <w:rPr>
          <w:color w:val="auto"/>
          <w:lang w:val="en-US"/>
        </w:rPr>
        <w:t>Nauka</w:t>
      </w:r>
      <w:proofErr w:type="spellEnd"/>
      <w:r w:rsidRPr="00063A7B">
        <w:rPr>
          <w:color w:val="auto"/>
          <w:lang w:val="en-US"/>
        </w:rPr>
        <w:t xml:space="preserve">. </w:t>
      </w:r>
      <w:proofErr w:type="spellStart"/>
      <w:r w:rsidRPr="00063A7B">
        <w:rPr>
          <w:color w:val="auto"/>
          <w:lang w:val="en-US"/>
        </w:rPr>
        <w:t>Technologia</w:t>
      </w:r>
      <w:proofErr w:type="spellEnd"/>
      <w:r w:rsidRPr="00063A7B">
        <w:rPr>
          <w:color w:val="auto"/>
          <w:lang w:val="en-US"/>
        </w:rPr>
        <w:t xml:space="preserve">. </w:t>
      </w:r>
      <w:proofErr w:type="spellStart"/>
      <w:r w:rsidRPr="00063A7B">
        <w:rPr>
          <w:color w:val="auto"/>
          <w:lang w:val="en-US"/>
        </w:rPr>
        <w:t>Jakość</w:t>
      </w:r>
      <w:proofErr w:type="spellEnd"/>
      <w:r w:rsidRPr="00063A7B">
        <w:rPr>
          <w:color w:val="auto"/>
          <w:lang w:val="en-US"/>
        </w:rPr>
        <w:t>, 2 (57), 60 – 73.</w:t>
      </w:r>
    </w:p>
    <w:p w:rsidR="00FB6138" w:rsidRPr="00063A7B" w:rsidRDefault="00FB6138" w:rsidP="00FB6138">
      <w:pPr>
        <w:pStyle w:val="Literatura"/>
        <w:rPr>
          <w:color w:val="auto"/>
          <w:lang w:val="en-US"/>
        </w:rPr>
      </w:pPr>
      <w:proofErr w:type="spellStart"/>
      <w:r w:rsidRPr="00063A7B">
        <w:rPr>
          <w:color w:val="auto"/>
          <w:lang w:val="en-US"/>
        </w:rPr>
        <w:t>Savaiano</w:t>
      </w:r>
      <w:proofErr w:type="spellEnd"/>
      <w:r w:rsidRPr="00063A7B">
        <w:rPr>
          <w:color w:val="auto"/>
          <w:lang w:val="en-US"/>
        </w:rPr>
        <w:t xml:space="preserve"> D., 2014, Digesting lactose from yogurt: mechanism and meaning, </w:t>
      </w:r>
      <w:r w:rsidRPr="00063A7B">
        <w:rPr>
          <w:iCs/>
          <w:color w:val="auto"/>
          <w:lang w:val="en-US"/>
        </w:rPr>
        <w:t>The American Journal of Clinical Nutrition</w:t>
      </w:r>
      <w:r w:rsidRPr="00063A7B">
        <w:rPr>
          <w:color w:val="auto"/>
          <w:lang w:val="en-US"/>
        </w:rPr>
        <w:t>.</w:t>
      </w:r>
    </w:p>
    <w:p w:rsidR="00FB6138" w:rsidRPr="00063A7B" w:rsidRDefault="00FB6138" w:rsidP="00FB6138">
      <w:pPr>
        <w:pStyle w:val="Literatura"/>
        <w:rPr>
          <w:color w:val="auto"/>
        </w:rPr>
      </w:pPr>
      <w:r w:rsidRPr="00063A7B">
        <w:rPr>
          <w:color w:val="auto"/>
        </w:rPr>
        <w:t>Świderski F., 2003, (red.), Żywność wygodna i żywność funkcjonalna, Wydawnictwo Naukowo-Techniczne, Warszawa.</w:t>
      </w:r>
    </w:p>
    <w:p w:rsidR="00FB6138" w:rsidRPr="00063A7B" w:rsidRDefault="00FB6138" w:rsidP="00FB6138">
      <w:pPr>
        <w:pStyle w:val="Literatura"/>
        <w:rPr>
          <w:color w:val="auto"/>
        </w:rPr>
      </w:pPr>
      <w:r w:rsidRPr="00063A7B">
        <w:rPr>
          <w:color w:val="auto"/>
        </w:rPr>
        <w:t>Świderski F, Kolanowski W., 1997, Żywienie i metabolizm, 24(2), 49-63.</w:t>
      </w:r>
    </w:p>
    <w:p w:rsidR="00FB6138" w:rsidRPr="00063A7B" w:rsidRDefault="00FB6138" w:rsidP="00FB6138">
      <w:pPr>
        <w:pStyle w:val="Literatura"/>
        <w:rPr>
          <w:color w:val="auto"/>
        </w:rPr>
      </w:pPr>
      <w:r w:rsidRPr="00063A7B">
        <w:rPr>
          <w:color w:val="auto"/>
        </w:rPr>
        <w:t xml:space="preserve">Waszkiewicz-Robak B., Kulik K., Bazarnik M., 2015, Żywność funkcjonalna szansą rozwoju nauki </w:t>
      </w:r>
      <w:proofErr w:type="spellStart"/>
      <w:r w:rsidRPr="00063A7B">
        <w:rPr>
          <w:color w:val="auto"/>
        </w:rPr>
        <w:t>ożywności</w:t>
      </w:r>
      <w:proofErr w:type="spellEnd"/>
      <w:r w:rsidRPr="00063A7B">
        <w:rPr>
          <w:color w:val="auto"/>
        </w:rPr>
        <w:t xml:space="preserve"> i żywieniu oraz zapewnienia bezpieczeństwa żywności, w: Karwowska M., Gustaw W. (red), Trendy w żywieniu człowieka, Wydawnictwo Naukowe PTTŻ, Kraków, 355-365.</w:t>
      </w:r>
    </w:p>
    <w:p w:rsidR="00FB6138" w:rsidRPr="00063A7B" w:rsidRDefault="00FB6138" w:rsidP="00FB6138"/>
    <w:sectPr w:rsidR="00FB6138" w:rsidRPr="00063A7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URWPalladioL-Bold">
    <w:altName w:val="Times New Roman"/>
    <w:panose1 w:val="00000000000000000000"/>
    <w:charset w:val="00"/>
    <w:family w:val="auto"/>
    <w:notTrueType/>
    <w:pitch w:val="default"/>
    <w:sig w:usb0="00000003" w:usb1="00000000" w:usb2="00000000" w:usb3="00000000" w:csb0="00000001" w:csb1="00000000"/>
  </w:font>
  <w:font w:name="F">
    <w:charset w:val="0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F6087"/>
    <w:multiLevelType w:val="multilevel"/>
    <w:tmpl w:val="DE087262"/>
    <w:styleLink w:val="WWNum47"/>
    <w:lvl w:ilvl="0">
      <w:start w:val="1"/>
      <w:numFmt w:val="decimal"/>
      <w:lvlText w:val="%1."/>
      <w:lvlJc w:val="left"/>
      <w:pPr>
        <w:ind w:left="1117" w:hanging="360"/>
      </w:pPr>
    </w:lvl>
    <w:lvl w:ilvl="1">
      <w:start w:val="1"/>
      <w:numFmt w:val="lowerLetter"/>
      <w:lvlText w:val="%2."/>
      <w:lvlJc w:val="left"/>
      <w:pPr>
        <w:ind w:left="1837" w:hanging="360"/>
      </w:pPr>
    </w:lvl>
    <w:lvl w:ilvl="2">
      <w:start w:val="1"/>
      <w:numFmt w:val="lowerRoman"/>
      <w:lvlText w:val="%1.%2.%3."/>
      <w:lvlJc w:val="right"/>
      <w:pPr>
        <w:ind w:left="2557" w:hanging="180"/>
      </w:pPr>
    </w:lvl>
    <w:lvl w:ilvl="3">
      <w:start w:val="1"/>
      <w:numFmt w:val="decimal"/>
      <w:lvlText w:val="%1.%2.%3.%4."/>
      <w:lvlJc w:val="left"/>
      <w:pPr>
        <w:ind w:left="3277" w:hanging="360"/>
      </w:pPr>
    </w:lvl>
    <w:lvl w:ilvl="4">
      <w:start w:val="1"/>
      <w:numFmt w:val="lowerLetter"/>
      <w:lvlText w:val="%1.%2.%3.%4.%5."/>
      <w:lvlJc w:val="left"/>
      <w:pPr>
        <w:ind w:left="3997" w:hanging="360"/>
      </w:pPr>
    </w:lvl>
    <w:lvl w:ilvl="5">
      <w:start w:val="1"/>
      <w:numFmt w:val="lowerRoman"/>
      <w:lvlText w:val="%1.%2.%3.%4.%5.%6."/>
      <w:lvlJc w:val="right"/>
      <w:pPr>
        <w:ind w:left="4717" w:hanging="180"/>
      </w:pPr>
    </w:lvl>
    <w:lvl w:ilvl="6">
      <w:start w:val="1"/>
      <w:numFmt w:val="decimal"/>
      <w:lvlText w:val="%1.%2.%3.%4.%5.%6.%7."/>
      <w:lvlJc w:val="left"/>
      <w:pPr>
        <w:ind w:left="5437" w:hanging="360"/>
      </w:pPr>
    </w:lvl>
    <w:lvl w:ilvl="7">
      <w:start w:val="1"/>
      <w:numFmt w:val="lowerLetter"/>
      <w:lvlText w:val="%1.%2.%3.%4.%5.%6.%7.%8."/>
      <w:lvlJc w:val="left"/>
      <w:pPr>
        <w:ind w:left="6157" w:hanging="360"/>
      </w:pPr>
    </w:lvl>
    <w:lvl w:ilvl="8">
      <w:start w:val="1"/>
      <w:numFmt w:val="lowerRoman"/>
      <w:lvlText w:val="%1.%2.%3.%4.%5.%6.%7.%8.%9."/>
      <w:lvlJc w:val="right"/>
      <w:pPr>
        <w:ind w:left="6877" w:hanging="180"/>
      </w:pPr>
    </w:lvl>
  </w:abstractNum>
  <w:abstractNum w:abstractNumId="1" w15:restartNumberingAfterBreak="0">
    <w:nsid w:val="33CF3879"/>
    <w:multiLevelType w:val="multilevel"/>
    <w:tmpl w:val="91D883D6"/>
    <w:styleLink w:val="WWNum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59752D7D"/>
    <w:multiLevelType w:val="multilevel"/>
    <w:tmpl w:val="B8BA445E"/>
    <w:styleLink w:val="WWNum9"/>
    <w:lvl w:ilvl="0">
      <w:numFmt w:val="bullet"/>
      <w:lvlText w:val=""/>
      <w:lvlJc w:val="left"/>
      <w:pPr>
        <w:ind w:left="757" w:hanging="360"/>
      </w:pPr>
      <w:rPr>
        <w:rFonts w:ascii="Symbol" w:hAnsi="Symbol"/>
      </w:rPr>
    </w:lvl>
    <w:lvl w:ilvl="1">
      <w:numFmt w:val="bullet"/>
      <w:lvlText w:val="o"/>
      <w:lvlJc w:val="left"/>
      <w:pPr>
        <w:ind w:left="1477" w:hanging="360"/>
      </w:pPr>
      <w:rPr>
        <w:rFonts w:ascii="Courier New" w:hAnsi="Courier New"/>
      </w:rPr>
    </w:lvl>
    <w:lvl w:ilvl="2">
      <w:numFmt w:val="bullet"/>
      <w:lvlText w:val=""/>
      <w:lvlJc w:val="left"/>
      <w:pPr>
        <w:ind w:left="2197" w:hanging="360"/>
      </w:pPr>
      <w:rPr>
        <w:rFonts w:ascii="Wingdings" w:hAnsi="Wingdings"/>
      </w:rPr>
    </w:lvl>
    <w:lvl w:ilvl="3">
      <w:numFmt w:val="bullet"/>
      <w:lvlText w:val=""/>
      <w:lvlJc w:val="left"/>
      <w:pPr>
        <w:ind w:left="2917" w:hanging="360"/>
      </w:pPr>
      <w:rPr>
        <w:rFonts w:ascii="Symbol" w:hAnsi="Symbol"/>
      </w:rPr>
    </w:lvl>
    <w:lvl w:ilvl="4">
      <w:numFmt w:val="bullet"/>
      <w:lvlText w:val="o"/>
      <w:lvlJc w:val="left"/>
      <w:pPr>
        <w:ind w:left="3637" w:hanging="360"/>
      </w:pPr>
      <w:rPr>
        <w:rFonts w:ascii="Courier New" w:hAnsi="Courier New"/>
      </w:rPr>
    </w:lvl>
    <w:lvl w:ilvl="5">
      <w:numFmt w:val="bullet"/>
      <w:lvlText w:val=""/>
      <w:lvlJc w:val="left"/>
      <w:pPr>
        <w:ind w:left="4357" w:hanging="360"/>
      </w:pPr>
      <w:rPr>
        <w:rFonts w:ascii="Wingdings" w:hAnsi="Wingdings"/>
      </w:rPr>
    </w:lvl>
    <w:lvl w:ilvl="6">
      <w:numFmt w:val="bullet"/>
      <w:lvlText w:val=""/>
      <w:lvlJc w:val="left"/>
      <w:pPr>
        <w:ind w:left="5077" w:hanging="360"/>
      </w:pPr>
      <w:rPr>
        <w:rFonts w:ascii="Symbol" w:hAnsi="Symbol"/>
      </w:rPr>
    </w:lvl>
    <w:lvl w:ilvl="7">
      <w:numFmt w:val="bullet"/>
      <w:lvlText w:val="o"/>
      <w:lvlJc w:val="left"/>
      <w:pPr>
        <w:ind w:left="5797" w:hanging="360"/>
      </w:pPr>
      <w:rPr>
        <w:rFonts w:ascii="Courier New" w:hAnsi="Courier New"/>
      </w:rPr>
    </w:lvl>
    <w:lvl w:ilvl="8">
      <w:numFmt w:val="bullet"/>
      <w:lvlText w:val=""/>
      <w:lvlJc w:val="left"/>
      <w:pPr>
        <w:ind w:left="6517" w:hanging="360"/>
      </w:pPr>
      <w:rPr>
        <w:rFonts w:ascii="Wingdings" w:hAnsi="Wingdings"/>
      </w:rPr>
    </w:lvl>
  </w:abstractNum>
  <w:abstractNum w:abstractNumId="3" w15:restartNumberingAfterBreak="0">
    <w:nsid w:val="783C74B1"/>
    <w:multiLevelType w:val="multilevel"/>
    <w:tmpl w:val="0D6A1B50"/>
    <w:styleLink w:val="WWNum4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2"/>
  </w:num>
  <w:num w:numId="2">
    <w:abstractNumId w:val="0"/>
  </w:num>
  <w:num w:numId="3">
    <w:abstractNumId w:val="3"/>
  </w:num>
  <w:num w:numId="4">
    <w:abstractNumId w:val="2"/>
  </w:num>
  <w:num w:numId="5">
    <w:abstractNumId w:val="0"/>
    <w:lvlOverride w:ilvl="0">
      <w:startOverride w:val="1"/>
    </w:lvlOverride>
  </w:num>
  <w:num w:numId="6">
    <w:abstractNumId w:val="3"/>
    <w:lvlOverride w:ilvl="0">
      <w:startOverride w:val="1"/>
    </w:lvlOverride>
  </w:num>
  <w:num w:numId="7">
    <w:abstractNumId w:val="1"/>
  </w:num>
  <w:num w:numId="8">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4D34"/>
    <w:rsid w:val="00063A7B"/>
    <w:rsid w:val="003F3D01"/>
    <w:rsid w:val="004D2757"/>
    <w:rsid w:val="00710C7B"/>
    <w:rsid w:val="00724D34"/>
    <w:rsid w:val="009A3987"/>
    <w:rsid w:val="00B552E2"/>
    <w:rsid w:val="00FB61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4E91D"/>
  <w15:chartTrackingRefBased/>
  <w15:docId w15:val="{10ABA141-A2C3-48EA-9388-040B97C6A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24D34"/>
    <w:pPr>
      <w:widowControl w:val="0"/>
      <w:suppressAutoHyphens/>
      <w:autoSpaceDN w:val="0"/>
      <w:spacing w:after="0" w:line="240" w:lineRule="auto"/>
      <w:textAlignment w:val="baseline"/>
    </w:pPr>
    <w:rPr>
      <w:rFonts w:ascii="Calibri" w:eastAsia="Times New Roman" w:hAnsi="Calibri" w:cs="Times New Roman"/>
      <w:kern w:val="3"/>
      <w:sz w:val="20"/>
      <w:szCs w:val="20"/>
      <w:lang w:eastAsia="pl-PL"/>
    </w:rPr>
  </w:style>
  <w:style w:type="paragraph" w:styleId="Nagwek1">
    <w:name w:val="heading 1"/>
    <w:next w:val="Normalny"/>
    <w:link w:val="Nagwek1Znak"/>
    <w:rsid w:val="00724D34"/>
    <w:pPr>
      <w:widowControl w:val="0"/>
      <w:suppressAutoHyphens/>
      <w:autoSpaceDN w:val="0"/>
      <w:spacing w:after="720" w:line="240" w:lineRule="auto"/>
      <w:textAlignment w:val="baseline"/>
      <w:outlineLvl w:val="0"/>
    </w:pPr>
    <w:rPr>
      <w:rFonts w:ascii="Calibri" w:eastAsia="Times New Roman" w:hAnsi="Calibri" w:cs="Times New Roman"/>
      <w:kern w:val="3"/>
      <w:sz w:val="26"/>
      <w:szCs w:val="26"/>
      <w:lang w:eastAsia="pl-PL"/>
    </w:rPr>
  </w:style>
  <w:style w:type="paragraph" w:styleId="Nagwek2">
    <w:name w:val="heading 2"/>
    <w:basedOn w:val="Standard"/>
    <w:next w:val="Normalny"/>
    <w:link w:val="Nagwek2Znak"/>
    <w:rsid w:val="00724D34"/>
    <w:pPr>
      <w:keepNext/>
      <w:spacing w:before="360" w:after="180"/>
      <w:jc w:val="left"/>
      <w:outlineLvl w:val="1"/>
    </w:pPr>
    <w:rPr>
      <w:rFonts w:ascii="Cambria" w:hAnsi="Cambria"/>
      <w:b/>
      <w:bCs/>
      <w:iCs/>
      <w:sz w:val="24"/>
      <w:lang w:val="pl-PL"/>
    </w:rPr>
  </w:style>
  <w:style w:type="paragraph" w:styleId="Nagwek4">
    <w:name w:val="heading 4"/>
    <w:basedOn w:val="Normalny"/>
    <w:next w:val="Normalny"/>
    <w:link w:val="Nagwek4Znak"/>
    <w:uiPriority w:val="9"/>
    <w:semiHidden/>
    <w:unhideWhenUsed/>
    <w:qFormat/>
    <w:rsid w:val="00724D3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24D34"/>
    <w:rPr>
      <w:rFonts w:ascii="Calibri" w:eastAsia="Times New Roman" w:hAnsi="Calibri" w:cs="Times New Roman"/>
      <w:kern w:val="3"/>
      <w:sz w:val="26"/>
      <w:szCs w:val="26"/>
      <w:lang w:eastAsia="pl-PL"/>
    </w:rPr>
  </w:style>
  <w:style w:type="character" w:customStyle="1" w:styleId="Nagwek2Znak">
    <w:name w:val="Nagłówek 2 Znak"/>
    <w:basedOn w:val="Domylnaczcionkaakapitu"/>
    <w:link w:val="Nagwek2"/>
    <w:rsid w:val="00724D34"/>
    <w:rPr>
      <w:rFonts w:ascii="Cambria" w:eastAsia="Times New Roman" w:hAnsi="Cambria" w:cs="Times New Roman"/>
      <w:b/>
      <w:bCs/>
      <w:iCs/>
      <w:color w:val="000000"/>
      <w:kern w:val="3"/>
      <w:sz w:val="24"/>
      <w:szCs w:val="24"/>
      <w:lang w:bidi="en-US"/>
    </w:rPr>
  </w:style>
  <w:style w:type="paragraph" w:customStyle="1" w:styleId="Standard">
    <w:name w:val="Standard"/>
    <w:rsid w:val="00724D34"/>
    <w:pPr>
      <w:suppressAutoHyphens/>
      <w:autoSpaceDN w:val="0"/>
      <w:spacing w:after="0" w:line="240" w:lineRule="auto"/>
      <w:jc w:val="both"/>
      <w:textAlignment w:val="baseline"/>
    </w:pPr>
    <w:rPr>
      <w:rFonts w:ascii="Times New Roman" w:eastAsia="Times New Roman" w:hAnsi="Times New Roman" w:cs="Times New Roman"/>
      <w:color w:val="000000"/>
      <w:kern w:val="3"/>
      <w:sz w:val="16"/>
      <w:szCs w:val="24"/>
      <w:lang w:val="en-US" w:bidi="en-US"/>
    </w:rPr>
  </w:style>
  <w:style w:type="paragraph" w:customStyle="1" w:styleId="Akapitzwyky">
    <w:name w:val="Akapit zwykły"/>
    <w:basedOn w:val="Standard"/>
    <w:rsid w:val="00724D34"/>
    <w:pPr>
      <w:ind w:firstLine="397"/>
    </w:pPr>
    <w:rPr>
      <w:color w:val="00000A"/>
      <w:spacing w:val="4"/>
      <w:sz w:val="22"/>
      <w:szCs w:val="22"/>
      <w:lang w:val="pl-PL"/>
    </w:rPr>
  </w:style>
  <w:style w:type="paragraph" w:customStyle="1" w:styleId="rdo">
    <w:name w:val="Źródło"/>
    <w:basedOn w:val="Nagwek4"/>
    <w:rsid w:val="00724D34"/>
    <w:pPr>
      <w:keepLines w:val="0"/>
      <w:widowControl/>
      <w:spacing w:before="120" w:after="240"/>
      <w:jc w:val="both"/>
    </w:pPr>
    <w:rPr>
      <w:rFonts w:ascii="Times New Roman" w:eastAsia="Times New Roman" w:hAnsi="Times New Roman" w:cs="Times New Roman"/>
      <w:bCs/>
      <w:i w:val="0"/>
      <w:iCs w:val="0"/>
      <w:color w:val="000000"/>
      <w:sz w:val="18"/>
      <w:szCs w:val="18"/>
      <w:lang w:eastAsia="en-US" w:bidi="en-US"/>
    </w:rPr>
  </w:style>
  <w:style w:type="numbering" w:customStyle="1" w:styleId="WWNum9">
    <w:name w:val="WWNum9"/>
    <w:basedOn w:val="Bezlisty"/>
    <w:rsid w:val="00724D34"/>
    <w:pPr>
      <w:numPr>
        <w:numId w:val="1"/>
      </w:numPr>
    </w:pPr>
  </w:style>
  <w:style w:type="numbering" w:customStyle="1" w:styleId="WWNum47">
    <w:name w:val="WWNum47"/>
    <w:basedOn w:val="Bezlisty"/>
    <w:rsid w:val="00724D34"/>
    <w:pPr>
      <w:numPr>
        <w:numId w:val="2"/>
      </w:numPr>
    </w:pPr>
  </w:style>
  <w:style w:type="numbering" w:customStyle="1" w:styleId="WWNum49">
    <w:name w:val="WWNum49"/>
    <w:basedOn w:val="Bezlisty"/>
    <w:rsid w:val="00724D34"/>
    <w:pPr>
      <w:numPr>
        <w:numId w:val="3"/>
      </w:numPr>
    </w:pPr>
  </w:style>
  <w:style w:type="character" w:customStyle="1" w:styleId="Nagwek4Znak">
    <w:name w:val="Nagłówek 4 Znak"/>
    <w:basedOn w:val="Domylnaczcionkaakapitu"/>
    <w:link w:val="Nagwek4"/>
    <w:uiPriority w:val="9"/>
    <w:semiHidden/>
    <w:rsid w:val="00724D34"/>
    <w:rPr>
      <w:rFonts w:asciiTheme="majorHAnsi" w:eastAsiaTheme="majorEastAsia" w:hAnsiTheme="majorHAnsi" w:cstheme="majorBidi"/>
      <w:i/>
      <w:iCs/>
      <w:color w:val="2E74B5" w:themeColor="accent1" w:themeShade="BF"/>
      <w:kern w:val="3"/>
      <w:sz w:val="20"/>
      <w:szCs w:val="20"/>
      <w:lang w:eastAsia="pl-PL"/>
    </w:rPr>
  </w:style>
  <w:style w:type="paragraph" w:styleId="Akapitzlist">
    <w:name w:val="List Paragraph"/>
    <w:basedOn w:val="Standard"/>
    <w:rsid w:val="00724D34"/>
    <w:pPr>
      <w:ind w:left="720"/>
    </w:pPr>
  </w:style>
  <w:style w:type="paragraph" w:customStyle="1" w:styleId="Literatura">
    <w:name w:val="Literatura"/>
    <w:basedOn w:val="Standard"/>
    <w:rsid w:val="00724D34"/>
    <w:pPr>
      <w:ind w:left="284" w:hanging="284"/>
    </w:pPr>
    <w:rPr>
      <w:color w:val="00000A"/>
      <w:sz w:val="18"/>
      <w:szCs w:val="18"/>
      <w:lang w:val="pl-PL" w:eastAsia="pl-PL"/>
    </w:rPr>
  </w:style>
  <w:style w:type="numbering" w:customStyle="1" w:styleId="WWNum46">
    <w:name w:val="WWNum46"/>
    <w:basedOn w:val="Bezlisty"/>
    <w:rsid w:val="00724D34"/>
    <w:pPr>
      <w:numPr>
        <w:numId w:val="7"/>
      </w:numPr>
    </w:pPr>
  </w:style>
  <w:style w:type="paragraph" w:styleId="Tekstdymka">
    <w:name w:val="Balloon Text"/>
    <w:basedOn w:val="Normalny"/>
    <w:link w:val="TekstdymkaZnak"/>
    <w:uiPriority w:val="99"/>
    <w:semiHidden/>
    <w:unhideWhenUsed/>
    <w:rsid w:val="009A3987"/>
    <w:rPr>
      <w:rFonts w:ascii="Segoe UI" w:hAnsi="Segoe UI" w:cs="Segoe UI"/>
      <w:sz w:val="18"/>
      <w:szCs w:val="18"/>
    </w:rPr>
  </w:style>
  <w:style w:type="character" w:customStyle="1" w:styleId="TekstdymkaZnak">
    <w:name w:val="Tekst dymka Znak"/>
    <w:basedOn w:val="Domylnaczcionkaakapitu"/>
    <w:link w:val="Tekstdymka"/>
    <w:uiPriority w:val="99"/>
    <w:semiHidden/>
    <w:rsid w:val="009A3987"/>
    <w:rPr>
      <w:rFonts w:ascii="Segoe UI" w:eastAsia="Times New Roman" w:hAnsi="Segoe UI" w:cs="Segoe UI"/>
      <w:kern w:val="3"/>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2179</Words>
  <Characters>13076</Characters>
  <Application>Microsoft Office Word</Application>
  <DocSecurity>0</DocSecurity>
  <Lines>108</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Palka</dc:creator>
  <cp:keywords/>
  <dc:description/>
  <cp:lastModifiedBy>AZP Aneta</cp:lastModifiedBy>
  <cp:revision>2</cp:revision>
  <cp:lastPrinted>2022-08-22T08:07:00Z</cp:lastPrinted>
  <dcterms:created xsi:type="dcterms:W3CDTF">2022-08-22T08:07:00Z</dcterms:created>
  <dcterms:modified xsi:type="dcterms:W3CDTF">2022-08-22T08:07:00Z</dcterms:modified>
</cp:coreProperties>
</file>