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14" w:rsidRDefault="00A857B3">
      <w:pPr>
        <w:pStyle w:val="Nagwek1"/>
        <w:numPr>
          <w:ilvl w:val="0"/>
          <w:numId w:val="2"/>
        </w:numPr>
        <w:ind w:left="431" w:hanging="431"/>
      </w:pPr>
      <w:bookmarkStart w:id="0" w:name="_Toc258314259"/>
      <w:r>
        <w:t xml:space="preserve">Istotne </w:t>
      </w:r>
      <w:bookmarkEnd w:id="0"/>
      <w:r w:rsidR="00B26395">
        <w:rPr>
          <w:lang w:val="pl-PL"/>
        </w:rPr>
        <w:t>POSTANOWIENIA UMOWY</w:t>
      </w:r>
    </w:p>
    <w:p w:rsidR="00AE0714" w:rsidRDefault="00A857B3">
      <w:pPr>
        <w:pStyle w:val="Nagwek2"/>
        <w:numPr>
          <w:ilvl w:val="1"/>
          <w:numId w:val="2"/>
        </w:numPr>
        <w:spacing w:before="40" w:after="40"/>
        <w:ind w:right="139" w:firstLine="0"/>
        <w:rPr>
          <w:b/>
        </w:rPr>
      </w:pPr>
      <w:r>
        <w:t>Sprzedaż energii elektrycznej odbywać się będzie na warunkach określonych przepisami ustawy z dnia 10 kwietnia 1997r. Prawo energetyczne (tekst jednolity: Dz. U. z 2019 r, poz. 755) .), przepisami KC, zasadami określonymi w koncesji. Zamawiający przekaże Wykonawcy wszelkie informacje konieczne do zmiany sprzedawcy oraz zawarcia umowy</w:t>
      </w:r>
    </w:p>
    <w:p w:rsidR="00AE0714" w:rsidRDefault="00A857B3">
      <w:pPr>
        <w:pStyle w:val="Nagwek2"/>
        <w:numPr>
          <w:ilvl w:val="1"/>
          <w:numId w:val="2"/>
        </w:numPr>
        <w:spacing w:before="40" w:after="40"/>
        <w:ind w:right="139" w:firstLine="0"/>
        <w:rPr>
          <w:b/>
        </w:rPr>
      </w:pPr>
      <w:r>
        <w:tab/>
        <w:t>Wykonawca zobowiązuje się do sprzedaży energii elektrycznej do obiektów Zamawiającego wyszczególnionych w załączniku do SWZ.</w:t>
      </w:r>
    </w:p>
    <w:p w:rsidR="00AE0714" w:rsidRDefault="00A857B3">
      <w:pPr>
        <w:pStyle w:val="Nagwek2"/>
        <w:numPr>
          <w:ilvl w:val="1"/>
          <w:numId w:val="2"/>
        </w:numPr>
        <w:spacing w:before="40" w:after="40"/>
        <w:ind w:right="139" w:firstLine="0"/>
      </w:pPr>
      <w:r>
        <w:t>Zamawiający nie ponosi żadnych innych kosztów związanych z ewentualnym przygotowaniem do przyjęcia dostarczanej energii elektrycznej poza opłatami wskazanymi w formularzu ofertowym.</w:t>
      </w:r>
    </w:p>
    <w:p w:rsidR="00AE0714" w:rsidRDefault="00A857B3">
      <w:pPr>
        <w:pStyle w:val="Nagwek2"/>
        <w:numPr>
          <w:ilvl w:val="1"/>
          <w:numId w:val="2"/>
        </w:numPr>
        <w:spacing w:before="40" w:after="40"/>
        <w:ind w:right="139" w:firstLine="0"/>
      </w:pPr>
      <w:r>
        <w:t xml:space="preserve">Wykonawca zobowiązuje się zapewnić Zamawiającemu standardy jakościowe obsługi odbiorców w zakresie: </w:t>
      </w:r>
    </w:p>
    <w:p w:rsidR="00AE0714" w:rsidRDefault="00A857B3">
      <w:pPr>
        <w:pStyle w:val="Nagwek2"/>
        <w:numPr>
          <w:ilvl w:val="0"/>
          <w:numId w:val="0"/>
        </w:numPr>
      </w:pPr>
      <w:r>
        <w:t xml:space="preserve">               a: przyjmowania od Zamawiającego zgłoszeń i reklamacji, </w:t>
      </w:r>
    </w:p>
    <w:p w:rsidR="00AE0714" w:rsidRDefault="00A857B3">
      <w:pPr>
        <w:pStyle w:val="Nagwek2"/>
        <w:numPr>
          <w:ilvl w:val="0"/>
          <w:numId w:val="0"/>
        </w:numPr>
        <w:ind w:left="680"/>
      </w:pPr>
      <w:r>
        <w:t xml:space="preserve">b: nieodpłatnego udzielania informacji w sprawie zasad rozliczeń oraz aktualnej taryfy, </w:t>
      </w:r>
    </w:p>
    <w:p w:rsidR="00AE0714" w:rsidRDefault="00A857B3">
      <w:pPr>
        <w:pStyle w:val="Nagwek2"/>
        <w:numPr>
          <w:ilvl w:val="0"/>
          <w:numId w:val="0"/>
        </w:numPr>
        <w:ind w:left="680"/>
      </w:pPr>
      <w:r>
        <w:t>c: rozpatrywania wniosków lub reklamacji Zamawiającego w sprawie rozliczeń w terminie do 14 dni od złożenia wniosku lub zgłoszenia reklamacji,</w:t>
      </w:r>
    </w:p>
    <w:p w:rsidR="00AE0714" w:rsidRDefault="002B5452">
      <w:pPr>
        <w:pStyle w:val="Nagwek2"/>
        <w:numPr>
          <w:ilvl w:val="1"/>
          <w:numId w:val="2"/>
        </w:numPr>
        <w:spacing w:before="40" w:after="40"/>
        <w:ind w:right="139" w:firstLine="0"/>
      </w:pPr>
      <w:r>
        <w:t xml:space="preserve">Okres obowiązywania umowy: </w:t>
      </w:r>
      <w:r w:rsidR="00707E27">
        <w:rPr>
          <w:lang w:val="pl-PL"/>
        </w:rPr>
        <w:t xml:space="preserve">do </w:t>
      </w:r>
      <w:r>
        <w:t>12 miesię</w:t>
      </w:r>
      <w:r w:rsidR="00A857B3">
        <w:t>c</w:t>
      </w:r>
      <w:r>
        <w:rPr>
          <w:lang w:val="pl-PL"/>
        </w:rPr>
        <w:t>y</w:t>
      </w:r>
      <w:r w:rsidR="00A857B3">
        <w:t>.</w:t>
      </w:r>
    </w:p>
    <w:p w:rsidR="00AE0714" w:rsidRDefault="00A857B3">
      <w:pPr>
        <w:pStyle w:val="Nagwek2"/>
        <w:numPr>
          <w:ilvl w:val="1"/>
          <w:numId w:val="2"/>
        </w:numPr>
        <w:spacing w:before="40" w:after="40"/>
        <w:ind w:right="139" w:firstLine="0"/>
      </w:pPr>
      <w:r>
        <w:t>Cena nie ulegnie zmianie przez okres 6 miesi</w:t>
      </w:r>
      <w:bookmarkStart w:id="1" w:name="_GoBack"/>
      <w:bookmarkEnd w:id="1"/>
      <w:r>
        <w:t>ęcy od daty udzielenia zamówienia, z wyjątkiem zmiany stawki podatku VAT i podatku akcyzowego. Wykonawca związany jest ceną za 1 kWh w poszczególnych grupach  taryfowych. W przypadku zmiany Ustawy oraz przepisów wykonawczych, wprowadzających dodatkowe obowiązki związane z zakupem praw majątkowych lub certyfikatami dotyczącymi efektywności energetycznej, ceny energii elektrycznej, o których mowa w umowie ulegną zmianie w odniesieniu do kosztów wynikających z obowiązków nałożonych właściwymi przepisami, od dnia ich wejścia w życie – na podstawie aneksu podpisanego przez strony. Po upływie okresu niezmienności strony dopuszczają zmiany cen z uwagi na uwarunkowania rynkowe. Wykonawca wnioskujący o zmianę ceny winien przedstawić szczegółowe uzasadnienie dla wnioskowanej zmiany z przedstawieniem dowodów.</w:t>
      </w:r>
    </w:p>
    <w:p w:rsidR="00AE0714" w:rsidRDefault="00A857B3">
      <w:pPr>
        <w:pStyle w:val="Nagwek2"/>
        <w:numPr>
          <w:ilvl w:val="1"/>
          <w:numId w:val="2"/>
        </w:numPr>
        <w:spacing w:before="40" w:after="40"/>
        <w:ind w:right="139" w:firstLine="0"/>
      </w:pPr>
      <w:r>
        <w:t>Termin zapłaty – 30 dni od daty wystawienia faktury. Podstawą rozliczenia będzie faktyczne zużycie energii elektrycznej. Ilość zużytej energii zostanie ustalona w oparciu o dane pomiarowo – rozliczeniowe przekazywane Wykonawcy przez OSD.</w:t>
      </w:r>
    </w:p>
    <w:p w:rsidR="00AE0714" w:rsidRDefault="00A857B3">
      <w:pPr>
        <w:pStyle w:val="Nagwek2"/>
        <w:numPr>
          <w:ilvl w:val="1"/>
          <w:numId w:val="2"/>
        </w:numPr>
        <w:spacing w:before="40" w:after="40"/>
        <w:ind w:right="139" w:firstLine="0"/>
      </w:pPr>
      <w: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E0714" w:rsidRDefault="00A857B3">
      <w:pPr>
        <w:pStyle w:val="Nagwek2"/>
        <w:numPr>
          <w:ilvl w:val="1"/>
          <w:numId w:val="2"/>
        </w:numPr>
        <w:spacing w:before="40" w:after="40"/>
        <w:ind w:right="139" w:firstLine="0"/>
      </w:pPr>
      <w:r>
        <w:t xml:space="preserve">W sprawach nieuregulowanych niniejszą umową zastosowanie mają przepisy ustawy </w:t>
      </w:r>
      <w:proofErr w:type="spellStart"/>
      <w:r>
        <w:t>Pzp</w:t>
      </w:r>
      <w:proofErr w:type="spellEnd"/>
      <w:r>
        <w:t>, KC i ustawy Prawo energetyczne.</w:t>
      </w:r>
    </w:p>
    <w:p w:rsidR="00AE0714" w:rsidRDefault="00A857B3">
      <w:pPr>
        <w:pStyle w:val="Nagwek2"/>
        <w:numPr>
          <w:ilvl w:val="1"/>
          <w:numId w:val="2"/>
        </w:numPr>
        <w:spacing w:before="40" w:after="40"/>
        <w:ind w:right="139" w:firstLine="0"/>
      </w:pPr>
      <w:r>
        <w:t xml:space="preserve">Na podstawie regulacji art. 455 ust, 1 </w:t>
      </w:r>
      <w:proofErr w:type="spellStart"/>
      <w:r>
        <w:t>Pzp</w:t>
      </w:r>
      <w:proofErr w:type="spellEnd"/>
      <w:r>
        <w:t xml:space="preserve"> Zamawiający wyraża zgodę na dopuszczalność wprowadzania zmian do umowy na zasadach i warunkach określonych w umowie. Zamawiający dopuszcza możliwość zmian umowy w następującym zakresie i na określonych poniżej warunkach: Zmiana umowy może obejmować w zakresie dozwolonym przez prawo: </w:t>
      </w:r>
    </w:p>
    <w:p w:rsidR="00AE0714" w:rsidRDefault="00A857B3">
      <w:pPr>
        <w:pStyle w:val="Nagwek2"/>
        <w:numPr>
          <w:ilvl w:val="0"/>
          <w:numId w:val="0"/>
        </w:numPr>
        <w:ind w:left="680"/>
      </w:pPr>
      <w:r>
        <w:t>a) zmianę ceny na zasadach wyżej opisanych</w:t>
      </w:r>
    </w:p>
    <w:p w:rsidR="00AE0714" w:rsidRDefault="00A857B3">
      <w:pPr>
        <w:pStyle w:val="Nagwek2"/>
        <w:numPr>
          <w:ilvl w:val="0"/>
          <w:numId w:val="0"/>
        </w:numPr>
        <w:ind w:left="680"/>
      </w:pPr>
      <w:r>
        <w:t>c) ograniczenie, zwiększenie lub zmiana punktów poboru lub grup taryfowych</w:t>
      </w:r>
    </w:p>
    <w:p w:rsidR="00AE0714" w:rsidRDefault="00AE0714"/>
    <w:sectPr w:rsidR="00AE0714" w:rsidSect="00D8652D">
      <w:headerReference w:type="default" r:id="rId7"/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67" w:rsidRDefault="006B1E67" w:rsidP="00D8652D">
      <w:pPr>
        <w:spacing w:after="0" w:line="240" w:lineRule="auto"/>
      </w:pPr>
      <w:r>
        <w:separator/>
      </w:r>
    </w:p>
  </w:endnote>
  <w:endnote w:type="continuationSeparator" w:id="0">
    <w:p w:rsidR="006B1E67" w:rsidRDefault="006B1E67" w:rsidP="00D8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67" w:rsidRDefault="006B1E67" w:rsidP="00D8652D">
      <w:pPr>
        <w:spacing w:after="0" w:line="240" w:lineRule="auto"/>
      </w:pPr>
      <w:r>
        <w:separator/>
      </w:r>
    </w:p>
  </w:footnote>
  <w:footnote w:type="continuationSeparator" w:id="0">
    <w:p w:rsidR="006B1E67" w:rsidRDefault="006B1E67" w:rsidP="00D8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2D" w:rsidRPr="00D8652D" w:rsidRDefault="00D8652D" w:rsidP="00D8652D">
    <w:pPr>
      <w:pStyle w:val="Nagwek"/>
      <w:jc w:val="right"/>
      <w:rPr>
        <w:rFonts w:hint="eastAsia"/>
        <w:sz w:val="20"/>
      </w:rPr>
    </w:pPr>
    <w:r w:rsidRPr="00D8652D">
      <w:rPr>
        <w:sz w:val="20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351"/>
    <w:multiLevelType w:val="multilevel"/>
    <w:tmpl w:val="9C143F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00000A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F37896"/>
    <w:multiLevelType w:val="multilevel"/>
    <w:tmpl w:val="CC84707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680" w:hanging="680"/>
      </w:pPr>
      <w:rPr>
        <w:b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gwek4"/>
      <w:lvlText w:val="l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  <w:b w:val="0"/>
        <w:i w:val="0"/>
        <w:color w:val="00000A"/>
        <w:sz w:val="24"/>
        <w:szCs w:val="24"/>
      </w:rPr>
    </w:lvl>
    <w:lvl w:ilvl="4">
      <w:start w:val="1"/>
      <w:numFmt w:val="decimal"/>
      <w:pStyle w:val="Nagwek5"/>
      <w:lvlText w:val="%1.%2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14"/>
    <w:rsid w:val="002B5452"/>
    <w:rsid w:val="00490A48"/>
    <w:rsid w:val="006B1E67"/>
    <w:rsid w:val="00707E27"/>
    <w:rsid w:val="00A857B3"/>
    <w:rsid w:val="00AE0714"/>
    <w:rsid w:val="00B26395"/>
    <w:rsid w:val="00D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A5403-5D03-43BE-B114-1BF89204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autoRedefine/>
    <w:qFormat/>
    <w:rsid w:val="009E3029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9E3029"/>
    <w:pPr>
      <w:numPr>
        <w:ilvl w:val="1"/>
        <w:numId w:val="1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9E3029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9E302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link w:val="Nagwek6Znak"/>
    <w:qFormat/>
    <w:rsid w:val="009E302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link w:val="Nagwek7Znak"/>
    <w:qFormat/>
    <w:rsid w:val="009E302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qFormat/>
    <w:rsid w:val="009E302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link w:val="Nagwek9Znak"/>
    <w:qFormat/>
    <w:rsid w:val="009E302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E3029"/>
    <w:rPr>
      <w:rFonts w:ascii="Times New Roman" w:eastAsia="Times New Roman" w:hAnsi="Times New Roman" w:cs="Times New Roman"/>
      <w:b/>
      <w:bCs/>
      <w:caps/>
      <w:kern w:val="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qFormat/>
    <w:rsid w:val="009E3029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qFormat/>
    <w:rsid w:val="009E302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E302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E302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E3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E302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E3029"/>
    <w:rPr>
      <w:rFonts w:ascii="Arial" w:eastAsia="Times New Roman" w:hAnsi="Arial" w:cs="Arial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0F62"/>
    <w:rPr>
      <w:rFonts w:ascii="Segoe UI" w:hAnsi="Segoe UI" w:cs="Segoe UI"/>
      <w:sz w:val="18"/>
      <w:szCs w:val="18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0F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dc:description/>
  <cp:lastModifiedBy>Adela</cp:lastModifiedBy>
  <cp:revision>7</cp:revision>
  <cp:lastPrinted>2022-05-30T08:40:00Z</cp:lastPrinted>
  <dcterms:created xsi:type="dcterms:W3CDTF">2022-05-31T06:18:00Z</dcterms:created>
  <dcterms:modified xsi:type="dcterms:W3CDTF">2022-06-22T12:09:00Z</dcterms:modified>
  <dc:language>pl-PL</dc:language>
</cp:coreProperties>
</file>