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AE34C" w14:textId="77777777" w:rsidR="007D42E8" w:rsidRPr="0095580B" w:rsidRDefault="007D42E8" w:rsidP="007D42E8">
      <w:pPr>
        <w:pStyle w:val="Tytu"/>
        <w:jc w:val="right"/>
        <w:rPr>
          <w:rFonts w:ascii="Arial" w:hAnsi="Arial" w:cs="Arial"/>
          <w:b w:val="0"/>
          <w:bCs w:val="0"/>
          <w:lang w:val="pl-PL"/>
        </w:rPr>
      </w:pPr>
      <w:r w:rsidRPr="0095580B">
        <w:rPr>
          <w:rFonts w:ascii="Arial" w:hAnsi="Arial" w:cs="Arial"/>
          <w:b w:val="0"/>
          <w:bCs w:val="0"/>
          <w:lang w:val="pl-PL"/>
        </w:rPr>
        <w:t xml:space="preserve">Załącznik </w:t>
      </w:r>
      <w:r>
        <w:rPr>
          <w:rFonts w:ascii="Arial" w:hAnsi="Arial" w:cs="Arial"/>
          <w:b w:val="0"/>
          <w:bCs w:val="0"/>
          <w:lang w:val="pl-PL"/>
        </w:rPr>
        <w:t>4</w:t>
      </w:r>
      <w:r w:rsidRPr="0095580B">
        <w:rPr>
          <w:rFonts w:ascii="Arial" w:hAnsi="Arial" w:cs="Arial"/>
          <w:b w:val="0"/>
          <w:bCs w:val="0"/>
          <w:lang w:val="pl-PL"/>
        </w:rPr>
        <w:t>.</w:t>
      </w:r>
    </w:p>
    <w:p w14:paraId="1C4EB08E" w14:textId="77777777" w:rsidR="007D42E8" w:rsidRPr="007520E9" w:rsidRDefault="007D42E8" w:rsidP="007D42E8">
      <w:pPr>
        <w:pStyle w:val="Tytu"/>
        <w:jc w:val="right"/>
        <w:rPr>
          <w:rFonts w:ascii="Arial" w:hAnsi="Arial" w:cs="Arial"/>
          <w:lang w:val="pl-PL"/>
        </w:rPr>
      </w:pPr>
    </w:p>
    <w:p w14:paraId="11D7F82D" w14:textId="77777777" w:rsidR="007D42E8" w:rsidRPr="007520E9" w:rsidRDefault="007D42E8" w:rsidP="007D42E8">
      <w:pPr>
        <w:pStyle w:val="Tytu"/>
        <w:rPr>
          <w:rFonts w:ascii="Arial" w:hAnsi="Arial" w:cs="Arial"/>
          <w:lang w:val="pl-PL"/>
        </w:rPr>
      </w:pPr>
    </w:p>
    <w:p w14:paraId="25589FDB" w14:textId="77777777" w:rsidR="007D42E8" w:rsidRDefault="007D42E8" w:rsidP="007D42E8">
      <w:pPr>
        <w:pStyle w:val="Tytu"/>
        <w:rPr>
          <w:rFonts w:ascii="Arial" w:hAnsi="Arial" w:cs="Arial"/>
          <w:lang w:val="pl-PL"/>
        </w:rPr>
      </w:pPr>
      <w:r w:rsidRPr="007520E9">
        <w:rPr>
          <w:rFonts w:ascii="Arial" w:hAnsi="Arial" w:cs="Arial"/>
          <w:lang w:val="pl-PL"/>
        </w:rPr>
        <w:t>Opis istniejącej części stanowiska badawczego</w:t>
      </w:r>
      <w:r>
        <w:rPr>
          <w:rFonts w:ascii="Arial" w:hAnsi="Arial" w:cs="Arial"/>
          <w:lang w:val="pl-PL"/>
        </w:rPr>
        <w:t xml:space="preserve"> </w:t>
      </w:r>
      <w:r w:rsidRPr="00CF1BBC">
        <w:rPr>
          <w:rFonts w:ascii="Arial" w:hAnsi="Arial" w:cs="Arial"/>
          <w:lang w:val="pl-PL"/>
        </w:rPr>
        <w:t>do badań elementów powierzchniowych tarczowo-płytowych</w:t>
      </w:r>
    </w:p>
    <w:p w14:paraId="53F94F4D" w14:textId="77777777" w:rsidR="007D42E8" w:rsidRDefault="007D42E8" w:rsidP="007D42E8">
      <w:pPr>
        <w:pStyle w:val="Tytu"/>
        <w:rPr>
          <w:rFonts w:ascii="Arial" w:hAnsi="Arial" w:cs="Arial"/>
          <w:lang w:val="pl-PL"/>
        </w:rPr>
      </w:pPr>
    </w:p>
    <w:p w14:paraId="1E642666" w14:textId="4EB15767" w:rsidR="007D42E8" w:rsidRPr="00CF1BBC" w:rsidRDefault="007D42E8" w:rsidP="007D42E8">
      <w:pPr>
        <w:spacing w:line="360" w:lineRule="auto"/>
        <w:jc w:val="center"/>
        <w:rPr>
          <w:rFonts w:ascii="Arial" w:hAnsi="Arial"/>
        </w:rPr>
      </w:pPr>
      <w:r w:rsidRPr="00C3246E">
        <w:rPr>
          <w:rFonts w:ascii="Arial" w:hAnsi="Arial"/>
          <w:noProof/>
        </w:rPr>
        <w:drawing>
          <wp:inline distT="0" distB="0" distL="0" distR="0" wp14:anchorId="7384B32E" wp14:editId="5AE99977">
            <wp:extent cx="5762625" cy="38290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1E057" w14:textId="77777777" w:rsidR="007D42E8" w:rsidRPr="00CF1BBC" w:rsidRDefault="007D42E8" w:rsidP="007D42E8">
      <w:pPr>
        <w:spacing w:after="240" w:line="360" w:lineRule="auto"/>
        <w:jc w:val="center"/>
        <w:rPr>
          <w:rFonts w:ascii="Arial" w:hAnsi="Arial"/>
          <w:sz w:val="20"/>
          <w:szCs w:val="20"/>
        </w:rPr>
      </w:pPr>
      <w:r w:rsidRPr="00CF1BBC">
        <w:rPr>
          <w:rFonts w:ascii="Arial" w:hAnsi="Arial"/>
          <w:sz w:val="20"/>
          <w:szCs w:val="20"/>
        </w:rPr>
        <w:t>Rys. 1. Istniejąca część mechaniczna stanowiska badawczego</w:t>
      </w:r>
    </w:p>
    <w:p w14:paraId="45A80F72" w14:textId="77777777" w:rsidR="007D42E8" w:rsidRPr="00AB5537" w:rsidRDefault="007D42E8" w:rsidP="007D42E8">
      <w:pPr>
        <w:pStyle w:val="Tytu"/>
        <w:spacing w:line="360" w:lineRule="auto"/>
        <w:jc w:val="both"/>
        <w:rPr>
          <w:rFonts w:ascii="Arial" w:hAnsi="Arial" w:cs="Arial"/>
          <w:b w:val="0"/>
          <w:bCs w:val="0"/>
          <w:lang w:val="pl-PL"/>
        </w:rPr>
      </w:pPr>
      <w:r w:rsidRPr="00AB5537">
        <w:rPr>
          <w:rFonts w:ascii="Arial" w:hAnsi="Arial" w:cs="Arial"/>
          <w:b w:val="0"/>
          <w:bCs w:val="0"/>
          <w:lang w:val="pl-PL"/>
        </w:rPr>
        <w:t xml:space="preserve">Część mechaniczną stanowiska badawczego, która składa się z ramy złożonej z dwóch słupów dwugałęziowych oraz rygla z nastawną wysokością. Rygiel wykonany jest z dwuteownika HEB 400. </w:t>
      </w:r>
    </w:p>
    <w:p w14:paraId="5B6557D7" w14:textId="77777777" w:rsidR="007D42E8" w:rsidRPr="00AB5537" w:rsidRDefault="007D42E8" w:rsidP="007D42E8">
      <w:pPr>
        <w:pStyle w:val="Tytu"/>
        <w:spacing w:line="360" w:lineRule="auto"/>
        <w:jc w:val="both"/>
        <w:rPr>
          <w:rFonts w:ascii="Arial" w:hAnsi="Arial" w:cs="Arial"/>
          <w:b w:val="0"/>
          <w:bCs w:val="0"/>
          <w:lang w:val="pl-PL"/>
        </w:rPr>
      </w:pPr>
      <w:bookmarkStart w:id="0" w:name="_GoBack"/>
      <w:bookmarkEnd w:id="0"/>
    </w:p>
    <w:p w14:paraId="59E7B243" w14:textId="77777777" w:rsidR="007D42E8" w:rsidRPr="00AB5537" w:rsidRDefault="007D42E8" w:rsidP="007D42E8">
      <w:pPr>
        <w:pStyle w:val="Tytu"/>
        <w:spacing w:line="360" w:lineRule="auto"/>
        <w:jc w:val="both"/>
        <w:rPr>
          <w:rFonts w:ascii="Arial" w:hAnsi="Arial" w:cs="Arial"/>
          <w:b w:val="0"/>
          <w:bCs w:val="0"/>
          <w:lang w:val="pl-PL"/>
        </w:rPr>
      </w:pPr>
      <w:r w:rsidRPr="00AB5537">
        <w:rPr>
          <w:rFonts w:ascii="Arial" w:hAnsi="Arial" w:cs="Arial"/>
          <w:b w:val="0"/>
          <w:bCs w:val="0"/>
          <w:lang w:val="pl-PL"/>
        </w:rPr>
        <w:t xml:space="preserve">Posiadany układ hydrauliczny to wolnostojąca stacja hydrauliczna, realizująca szybki ruch dojazdowy siłownika 20 mm/s, maksymalne ciśnienie 40 barów i wolny ruch roboczy 0,5 mm/s, ciśnienie maksymalne 200 barów. Układ sterowania elektrycznego, będzie umożliwiał sterowanie siłownikiem. Oprogramowanie informatyczne będzie umożliwiać przesyłanie danych ze sterownika do komputera oraz będzie umożliwiać rejestrowanie, wizualizację i prezentowanie wyników badań. Posiadany siłownik, który będzie współpracował z systemem wyposażony jest w liniowy, indukcyjny przetwornik drogi firmy </w:t>
      </w:r>
      <w:proofErr w:type="spellStart"/>
      <w:r w:rsidRPr="00AB5537">
        <w:rPr>
          <w:rFonts w:ascii="Arial" w:hAnsi="Arial" w:cs="Arial"/>
          <w:b w:val="0"/>
          <w:bCs w:val="0"/>
          <w:lang w:val="pl-PL"/>
        </w:rPr>
        <w:t>Balluff</w:t>
      </w:r>
      <w:proofErr w:type="spellEnd"/>
      <w:r w:rsidRPr="00AB5537">
        <w:rPr>
          <w:rFonts w:ascii="Arial" w:hAnsi="Arial" w:cs="Arial"/>
          <w:b w:val="0"/>
          <w:bCs w:val="0"/>
          <w:lang w:val="pl-PL"/>
        </w:rPr>
        <w:t xml:space="preserve"> o dokładności pomiarowej 0,1 mm. Na końcówce tłoczyska zamocowana jest głowica pomiarowa w oparciu o tensometryczny przetwornik siły FT-5368 produkcji „SPAIS”, zatem czujniki, które są przedmiotem niniejszego zapytania muszą współpracować z tym układem sterowania.</w:t>
      </w:r>
    </w:p>
    <w:p w14:paraId="658F3232" w14:textId="77777777" w:rsidR="003F41CB" w:rsidRDefault="003F41CB"/>
    <w:sectPr w:rsidR="003F41CB" w:rsidSect="00034F02">
      <w:pgSz w:w="11906" w:h="16838"/>
      <w:pgMar w:top="737" w:right="1418" w:bottom="737" w:left="1418" w:header="709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C96"/>
    <w:rsid w:val="003F41CB"/>
    <w:rsid w:val="007D42E8"/>
    <w:rsid w:val="0085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CC197-3348-4E57-A871-A8DB6EEC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4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D42E8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D42E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2022-05-10T07:35:00Z</dcterms:created>
  <dcterms:modified xsi:type="dcterms:W3CDTF">2022-05-10T07:35:00Z</dcterms:modified>
</cp:coreProperties>
</file>