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spacing w:after="0" w:line="259" w:lineRule="auto"/>
        <w:ind w:left="0" w:firstLine="0"/>
        <w:jc w:val="right"/>
      </w:pPr>
      <w:r>
        <w:rPr>
          <w:rFonts w:ascii="Tahoma" w:eastAsia="Tahoma" w:hAnsi="Tahoma" w:cs="Tahoma"/>
          <w:b/>
          <w:sz w:val="28"/>
        </w:rPr>
        <w:t xml:space="preserve"> </w:t>
      </w:r>
    </w:p>
    <w:p>
      <w:pPr>
        <w:spacing w:after="0" w:line="259" w:lineRule="auto"/>
        <w:ind w:left="0" w:right="82" w:firstLine="0"/>
        <w:jc w:val="center"/>
      </w:pPr>
      <w:r>
        <w:rPr>
          <w:rFonts w:ascii="Tahoma" w:eastAsia="Tahoma" w:hAnsi="Tahoma" w:cs="Tahoma"/>
          <w:color w:val="355E91"/>
        </w:rPr>
        <w:t xml:space="preserve">Postępowanie przetargowe </w:t>
      </w:r>
    </w:p>
    <w:p>
      <w:pPr>
        <w:spacing w:after="0" w:line="259" w:lineRule="auto"/>
        <w:ind w:left="0" w:right="21" w:firstLine="0"/>
        <w:jc w:val="center"/>
      </w:pPr>
      <w:r>
        <w:rPr>
          <w:rFonts w:ascii="Tahoma" w:eastAsia="Tahoma" w:hAnsi="Tahoma" w:cs="Tahoma"/>
          <w:sz w:val="23"/>
        </w:rPr>
        <w:t>Limit na gwarancje bankowe</w:t>
      </w:r>
      <w:r>
        <w:t xml:space="preserve"> </w:t>
      </w:r>
    </w:p>
    <w:p>
      <w:pPr>
        <w:spacing w:after="118" w:line="259" w:lineRule="auto"/>
        <w:ind w:left="151" w:firstLine="0"/>
        <w:jc w:val="left"/>
      </w:pPr>
      <w:r>
        <w:rPr>
          <w:noProof/>
        </w:rPr>
        <mc:AlternateContent>
          <mc:Choice Requires="wpg">
            <w:drawing>
              <wp:inline distT="0" distB="0" distL="0" distR="0">
                <wp:extent cx="5600700" cy="635"/>
                <wp:effectExtent l="0" t="0" r="0" b="0"/>
                <wp:docPr id="784" name="Group 7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00700" cy="635"/>
                          <a:chOff x="0" y="0"/>
                          <a:chExt cx="5600700" cy="635"/>
                        </a:xfrm>
                      </wpg:grpSpPr>
                      <wps:wsp>
                        <wps:cNvPr id="12" name="Shape 12"/>
                        <wps:cNvSpPr/>
                        <wps:spPr>
                          <a:xfrm>
                            <a:off x="0" y="0"/>
                            <a:ext cx="5600700" cy="6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00700" h="635">
                                <a:moveTo>
                                  <a:pt x="0" y="0"/>
                                </a:moveTo>
                                <a:lnTo>
                                  <a:pt x="5600700" y="635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784" style="width:441pt;height:0.0500031pt;mso-position-horizontal-relative:char;mso-position-vertical-relative:line" coordsize="56007,6">
                <v:shape id="Shape 12" style="position:absolute;width:56007;height:6;left:0;top:0;" coordsize="5600700,635" path="m0,0l5600700,635">
                  <v:stroke weight="0.75pt" endcap="flat" joinstyle="round" on="true" color="#000000"/>
                  <v:fill on="false" color="#000000" opacity="0"/>
                </v:shape>
              </v:group>
            </w:pict>
          </mc:Fallback>
        </mc:AlternateContent>
      </w:r>
    </w:p>
    <w:p>
      <w:pPr>
        <w:spacing w:after="0" w:line="259" w:lineRule="auto"/>
        <w:ind w:left="0" w:firstLine="0"/>
        <w:jc w:val="left"/>
      </w:pPr>
      <w:r>
        <w:t xml:space="preserve"> </w:t>
      </w:r>
    </w:p>
    <w:p>
      <w:pPr>
        <w:spacing w:after="19" w:line="358" w:lineRule="auto"/>
        <w:ind w:left="2503" w:firstLine="5211"/>
        <w:jc w:val="left"/>
      </w:pPr>
      <w:r>
        <w:rPr>
          <w:b/>
          <w:sz w:val="24"/>
        </w:rPr>
        <w:t xml:space="preserve">Załącznik nr 4 Wybrane istotne postanowienia umowy: </w:t>
      </w:r>
    </w:p>
    <w:p>
      <w:pPr>
        <w:spacing w:after="160" w:line="259" w:lineRule="auto"/>
        <w:ind w:left="0" w:firstLine="0"/>
        <w:jc w:val="left"/>
      </w:pPr>
      <w:r>
        <w:t xml:space="preserve"> </w:t>
      </w:r>
    </w:p>
    <w:p>
      <w:pPr>
        <w:numPr>
          <w:ilvl w:val="0"/>
          <w:numId w:val="1"/>
        </w:numPr>
        <w:ind w:right="66" w:hanging="357"/>
      </w:pPr>
      <w:r>
        <w:t xml:space="preserve">Gwarancje zostaną udzielone w złotych polskich. </w:t>
      </w:r>
    </w:p>
    <w:p>
      <w:pPr>
        <w:numPr>
          <w:ilvl w:val="0"/>
          <w:numId w:val="1"/>
        </w:numPr>
        <w:ind w:right="66" w:hanging="357"/>
      </w:pPr>
      <w:r>
        <w:t xml:space="preserve">Limit gwarancyjny będzie dostępy przez 24 miesiące co oznacza, że gwarancje będą wystawiane przez okres 24 miesięcy od daty podpisania umowy. </w:t>
      </w:r>
    </w:p>
    <w:p>
      <w:pPr>
        <w:numPr>
          <w:ilvl w:val="0"/>
          <w:numId w:val="1"/>
        </w:numPr>
        <w:ind w:right="66" w:hanging="357"/>
      </w:pPr>
      <w:r>
        <w:t xml:space="preserve">Termin ważności Gwarancji wystawianych przez Bank w ramach limitu gwarancyjnego będzie wynosił maksymalnie 60 miesięcy od daty wystawienia gwarancji. </w:t>
      </w:r>
    </w:p>
    <w:p>
      <w:pPr>
        <w:numPr>
          <w:ilvl w:val="0"/>
          <w:numId w:val="1"/>
        </w:numPr>
        <w:ind w:right="66" w:hanging="357"/>
      </w:pPr>
      <w:r>
        <w:t xml:space="preserve">Limit gwarancyjny ma charakter odnawialny, co oznacza, że w przypadku upłynięcia terminu obowiązywania gwarancji, zwrotu gwarancji przez beneficjenta, lub zrealizowania gwarancji, kwota gwarancji może zostać wykorzystana ponownie, w ramach dostępnego limitu gwarancyjnego w okresie 24 miesięcy od podpisania umowy. </w:t>
      </w:r>
    </w:p>
    <w:p>
      <w:pPr>
        <w:numPr>
          <w:ilvl w:val="0"/>
          <w:numId w:val="1"/>
        </w:numPr>
        <w:ind w:right="66" w:hanging="357"/>
      </w:pPr>
      <w:r>
        <w:t xml:space="preserve">W ciągu 5 dni roboczych od daty przekazania Bankowi przez Uniwersytet Morski w Gdyni treści umowy, której ma dotyczyć udzielona gwarancja lub propozycji treści gwarancji lub specyfikacji istotnych warunków zamówienia, którego ma dotyczyć udzielona gwarancja, Bank przekaże odpowiedź o możliwości udzielenia gwarancji lub odmowie jej udzielenia podając powody odmowy udzielenia gwarancji i wskazując na zmiany, których dokonanie umożliwi udzielenie gwarancji. </w:t>
      </w:r>
    </w:p>
    <w:p>
      <w:pPr>
        <w:numPr>
          <w:ilvl w:val="0"/>
          <w:numId w:val="1"/>
        </w:numPr>
        <w:ind w:right="66" w:hanging="357"/>
      </w:pPr>
      <w:r>
        <w:t xml:space="preserve">Każdorazowo przed wystawieniem gwarancji Bank przedstawi Uniwersytetowi Morskiemu w Gdyni projekt treści gwarancji. </w:t>
      </w:r>
    </w:p>
    <w:p>
      <w:pPr>
        <w:numPr>
          <w:ilvl w:val="0"/>
          <w:numId w:val="1"/>
        </w:numPr>
        <w:ind w:right="66" w:hanging="357"/>
      </w:pPr>
      <w:r>
        <w:t xml:space="preserve">Bank będzie uprawniony do pobrania jedynie prowizji za przyznanie limitu gwarancyjnego oraz prowizji za obsługę gwarancji w wysokości uzależnionej od wysokości wykorzystanego limitu.  </w:t>
      </w:r>
    </w:p>
    <w:p>
      <w:pPr>
        <w:numPr>
          <w:ilvl w:val="0"/>
          <w:numId w:val="1"/>
        </w:numPr>
        <w:ind w:right="66" w:hanging="357"/>
      </w:pPr>
      <w:r>
        <w:t xml:space="preserve">Prowizja za przyznanie limitu gwarancyjnego (jeżeli Bank zdecyduje o pobieraniu takiej prowizji) będzie pobrana jednorazowo po podpisaniu umowy limitu gwarancyjnego </w:t>
      </w:r>
    </w:p>
    <w:p>
      <w:pPr>
        <w:numPr>
          <w:ilvl w:val="0"/>
          <w:numId w:val="1"/>
        </w:numPr>
        <w:ind w:right="66" w:hanging="357"/>
      </w:pPr>
      <w:r>
        <w:t xml:space="preserve">Prowizja za obsługę gwarancji będzie pobierana w okresach kwartalnych od wysokości wykorzystanego limitu gwarancyjnego. </w:t>
      </w:r>
    </w:p>
    <w:p>
      <w:pPr>
        <w:numPr>
          <w:ilvl w:val="0"/>
          <w:numId w:val="1"/>
        </w:numPr>
        <w:ind w:right="66" w:hanging="357"/>
      </w:pPr>
      <w:r>
        <w:t xml:space="preserve">Bank nie będzie pobierał żadnej dodatkowej prowizji ani innych opłat z tytułu przyznania  i funkcjonowania limitu gwarancyjnego w tym prowizji i opłat za usługę instalacji, korzystania i serwisu elektronicznej platformy do obsługi gwarancji. </w:t>
      </w:r>
    </w:p>
    <w:p>
      <w:pPr>
        <w:numPr>
          <w:ilvl w:val="0"/>
          <w:numId w:val="1"/>
        </w:numPr>
        <w:ind w:right="66" w:hanging="357"/>
      </w:pPr>
      <w:r>
        <w:t xml:space="preserve">Uniwersytet Morski w Gdyni zobowiązuje się do dostarczania do Banku: </w:t>
      </w:r>
    </w:p>
    <w:p>
      <w:pPr>
        <w:numPr>
          <w:ilvl w:val="1"/>
          <w:numId w:val="1"/>
        </w:numPr>
        <w:ind w:right="66" w:hanging="357"/>
      </w:pPr>
      <w:r>
        <w:t xml:space="preserve">rocznego sprawozdania finansowego - po zamknięciu roku obrotowego, jednakże nie później niż do końca 4 (słownie: czwartego) miesiąca po zakończeniu roku obrotowego, </w:t>
      </w:r>
    </w:p>
    <w:p>
      <w:pPr>
        <w:numPr>
          <w:ilvl w:val="1"/>
          <w:numId w:val="1"/>
        </w:numPr>
        <w:ind w:right="66" w:hanging="357"/>
      </w:pPr>
      <w:r>
        <w:t xml:space="preserve">rocznego zatwierdzonego sprawozdania finansowego − niezwłocznie po zatwierdzeniu, jednakże nie później niż w terminie 7 (słownie: siedmiu) miesięcy od zakończenia roku obrotowego. </w:t>
      </w:r>
    </w:p>
    <w:sectPr>
      <w:pgSz w:w="11900" w:h="16840"/>
      <w:pgMar w:top="1440" w:right="1330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05363"/>
    <w:multiLevelType w:val="hybridMultilevel"/>
    <w:tmpl w:val="74649CDC"/>
    <w:lvl w:ilvl="0" w:tplc="35A8C6F0">
      <w:start w:val="1"/>
      <w:numFmt w:val="decimal"/>
      <w:lvlText w:val="%1)"/>
      <w:lvlJc w:val="left"/>
      <w:pPr>
        <w:ind w:left="3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8726572">
      <w:start w:val="1"/>
      <w:numFmt w:val="lowerLetter"/>
      <w:lvlText w:val="%2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68CD378">
      <w:start w:val="1"/>
      <w:numFmt w:val="lowerRoman"/>
      <w:lvlText w:val="%3"/>
      <w:lvlJc w:val="left"/>
      <w:pPr>
        <w:ind w:left="14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0DC651C">
      <w:start w:val="1"/>
      <w:numFmt w:val="decimal"/>
      <w:lvlText w:val="%4"/>
      <w:lvlJc w:val="left"/>
      <w:pPr>
        <w:ind w:left="21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ECE918A">
      <w:start w:val="1"/>
      <w:numFmt w:val="lowerLetter"/>
      <w:lvlText w:val="%5"/>
      <w:lvlJc w:val="left"/>
      <w:pPr>
        <w:ind w:left="28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8057B8">
      <w:start w:val="1"/>
      <w:numFmt w:val="lowerRoman"/>
      <w:lvlText w:val="%6"/>
      <w:lvlJc w:val="left"/>
      <w:pPr>
        <w:ind w:left="36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3A817F2">
      <w:start w:val="1"/>
      <w:numFmt w:val="decimal"/>
      <w:lvlText w:val="%7"/>
      <w:lvlJc w:val="left"/>
      <w:pPr>
        <w:ind w:left="43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82C95AA">
      <w:start w:val="1"/>
      <w:numFmt w:val="lowerLetter"/>
      <w:lvlText w:val="%8"/>
      <w:lvlJc w:val="left"/>
      <w:pPr>
        <w:ind w:left="50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59E6D18">
      <w:start w:val="1"/>
      <w:numFmt w:val="lowerRoman"/>
      <w:lvlText w:val="%9"/>
      <w:lvlJc w:val="left"/>
      <w:pPr>
        <w:ind w:left="57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1AE727-E732-4423-B308-93DE44BC7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" w:line="310" w:lineRule="auto"/>
      <w:ind w:left="370" w:hanging="367"/>
      <w:jc w:val="both"/>
    </w:pPr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354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6_Istotne postanowienia umowy</vt:lpstr>
    </vt:vector>
  </TitlesOfParts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6_Istotne postanowienia umowy</dc:title>
  <dc:subject/>
  <dc:creator>Ania Osiecka</dc:creator>
  <cp:keywords/>
  <cp:lastModifiedBy>Bień Paweł</cp:lastModifiedBy>
  <cp:revision>2</cp:revision>
  <dcterms:created xsi:type="dcterms:W3CDTF">2022-04-06T12:40:00Z</dcterms:created>
  <dcterms:modified xsi:type="dcterms:W3CDTF">2022-04-06T12:40:00Z</dcterms:modified>
</cp:coreProperties>
</file>