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73C8B" w14:textId="71B0FBB9" w:rsidR="000D3F20" w:rsidRPr="003D0B06" w:rsidRDefault="006D2ABE" w:rsidP="003D0B06">
      <w:pPr>
        <w:jc w:val="right"/>
        <w:rPr>
          <w:rFonts w:ascii="Calibri" w:hAnsi="Calibri" w:cs="Calibri"/>
        </w:rPr>
      </w:pPr>
      <w:r w:rsidRPr="003D0B06">
        <w:rPr>
          <w:rFonts w:ascii="Calibri" w:hAnsi="Calibri" w:cs="Calibri"/>
        </w:rPr>
        <w:t>Załącznik nr 1 do SWZ</w:t>
      </w:r>
    </w:p>
    <w:p w14:paraId="4B733BEC" w14:textId="57522AD3" w:rsidR="006D2ABE" w:rsidRPr="003D0B06" w:rsidRDefault="006D2ABE" w:rsidP="003D0B06">
      <w:pPr>
        <w:jc w:val="center"/>
        <w:rPr>
          <w:rFonts w:ascii="Calibri" w:hAnsi="Calibri" w:cs="Calibri"/>
          <w:b/>
        </w:rPr>
      </w:pPr>
      <w:r w:rsidRPr="003D0B06">
        <w:rPr>
          <w:rFonts w:ascii="Calibri" w:hAnsi="Calibri" w:cs="Calibri"/>
          <w:b/>
        </w:rPr>
        <w:t>Opis przedmiotu zamówienia</w:t>
      </w:r>
    </w:p>
    <w:p w14:paraId="5CD487BB" w14:textId="653EBAEF" w:rsidR="00362B89" w:rsidRPr="003D0B06" w:rsidRDefault="00362B89" w:rsidP="00362B89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>Celem projektu jest opracowanie koncepcji uruchomienia regularnej żeglugi wzdłuż międzynarodowej drogi wodnej E6</w:t>
      </w:r>
      <w:r w:rsidR="00FD369F" w:rsidRPr="003D0B06">
        <w:rPr>
          <w:rFonts w:ascii="Calibri" w:hAnsi="Calibri" w:cs="Calibri"/>
        </w:rPr>
        <w:t>0</w:t>
      </w:r>
      <w:r w:rsidRPr="003D0B06">
        <w:rPr>
          <w:rFonts w:ascii="Calibri" w:hAnsi="Calibri" w:cs="Calibri"/>
        </w:rPr>
        <w:t>. Koncepcja obejm</w:t>
      </w:r>
      <w:r w:rsidR="00FD369F" w:rsidRPr="003D0B06">
        <w:rPr>
          <w:rFonts w:ascii="Calibri" w:hAnsi="Calibri" w:cs="Calibri"/>
        </w:rPr>
        <w:t>uje</w:t>
      </w:r>
      <w:r w:rsidRPr="003D0B06">
        <w:rPr>
          <w:rFonts w:ascii="Calibri" w:hAnsi="Calibri" w:cs="Calibri"/>
        </w:rPr>
        <w:t xml:space="preserve"> aspekty techniczne, ekonomiczne i społeczne w celu osiągnięcia najlepszych możliwych skutków ekonomicznych.</w:t>
      </w:r>
    </w:p>
    <w:p w14:paraId="60680538" w14:textId="1503745F" w:rsidR="00362B89" w:rsidRPr="003D0B06" w:rsidRDefault="00362B89" w:rsidP="00362B89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>Projekt formułuje rozwiązania transportowe wspierające aktywny rozwój peryferyjnych regionów przybrzeżnych obszaru Południowego Bałtyku, koncentrując się na portach lokalnych, jako centrach rozwoju. Pom</w:t>
      </w:r>
      <w:r w:rsidR="00FD369F" w:rsidRPr="003D0B06">
        <w:rPr>
          <w:rFonts w:ascii="Calibri" w:hAnsi="Calibri" w:cs="Calibri"/>
        </w:rPr>
        <w:t>aga</w:t>
      </w:r>
      <w:r w:rsidRPr="003D0B06">
        <w:rPr>
          <w:rFonts w:ascii="Calibri" w:hAnsi="Calibri" w:cs="Calibri"/>
        </w:rPr>
        <w:t xml:space="preserve"> to zwiększyć konkurencyjność regionu Morza Bałtyckiego oraz zwiększyć jego dostępność i atrakcyjność. Jednym z tych rozwiązań </w:t>
      </w:r>
      <w:r w:rsidR="00FD369F" w:rsidRPr="003D0B06">
        <w:rPr>
          <w:rFonts w:ascii="Calibri" w:hAnsi="Calibri" w:cs="Calibri"/>
        </w:rPr>
        <w:t>jest</w:t>
      </w:r>
      <w:r w:rsidRPr="003D0B06">
        <w:rPr>
          <w:rFonts w:ascii="Calibri" w:hAnsi="Calibri" w:cs="Calibri"/>
        </w:rPr>
        <w:t xml:space="preserve"> </w:t>
      </w:r>
      <w:r w:rsidR="00FD369F" w:rsidRPr="003D0B06">
        <w:rPr>
          <w:rFonts w:ascii="Calibri" w:hAnsi="Calibri" w:cs="Calibri"/>
        </w:rPr>
        <w:t>symulator transportu</w:t>
      </w:r>
      <w:r w:rsidRPr="003D0B06">
        <w:rPr>
          <w:rFonts w:ascii="Calibri" w:hAnsi="Calibri" w:cs="Calibri"/>
        </w:rPr>
        <w:t xml:space="preserve">, który </w:t>
      </w:r>
      <w:r w:rsidR="00FD369F" w:rsidRPr="003D0B06">
        <w:rPr>
          <w:rFonts w:ascii="Calibri" w:hAnsi="Calibri" w:cs="Calibri"/>
        </w:rPr>
        <w:t>jest</w:t>
      </w:r>
      <w:r w:rsidRPr="003D0B06">
        <w:rPr>
          <w:rFonts w:ascii="Calibri" w:hAnsi="Calibri" w:cs="Calibri"/>
        </w:rPr>
        <w:t xml:space="preserve"> adresowany szczególnie </w:t>
      </w:r>
      <w:r w:rsidR="008F6A01" w:rsidRPr="003D0B06">
        <w:rPr>
          <w:rFonts w:ascii="Calibri" w:hAnsi="Calibri" w:cs="Calibri"/>
        </w:rPr>
        <w:t>do sektora biznesowego - gestorów</w:t>
      </w:r>
      <w:r w:rsidRPr="003D0B06">
        <w:rPr>
          <w:rFonts w:ascii="Calibri" w:hAnsi="Calibri" w:cs="Calibri"/>
        </w:rPr>
        <w:t xml:space="preserve"> ładunków, spedytorów logistycznych i innych podmiotów transportowych działających w tym obszarze.</w:t>
      </w:r>
    </w:p>
    <w:p w14:paraId="119D31F4" w14:textId="1C258285" w:rsidR="00362B89" w:rsidRPr="003D0B06" w:rsidRDefault="00362B89" w:rsidP="00362B89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Głównymi rezultatami projektu INCONE60 </w:t>
      </w:r>
      <w:r w:rsidR="00FD369F" w:rsidRPr="003D0B06">
        <w:rPr>
          <w:rFonts w:ascii="Calibri" w:hAnsi="Calibri" w:cs="Calibri"/>
        </w:rPr>
        <w:t>są</w:t>
      </w:r>
      <w:r w:rsidRPr="003D0B06">
        <w:rPr>
          <w:rFonts w:ascii="Calibri" w:hAnsi="Calibri" w:cs="Calibri"/>
        </w:rPr>
        <w:t>:</w:t>
      </w:r>
    </w:p>
    <w:p w14:paraId="569213BD" w14:textId="71888470" w:rsidR="00362B89" w:rsidRPr="003D0B06" w:rsidRDefault="00A61CFF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</w:rPr>
      </w:pPr>
      <w:r w:rsidRPr="003D0B06">
        <w:rPr>
          <w:rFonts w:ascii="Calibri" w:hAnsi="Calibri" w:cs="Calibri"/>
        </w:rPr>
        <w:t>Cztery k</w:t>
      </w:r>
      <w:r w:rsidR="00362B89" w:rsidRPr="003D0B06">
        <w:rPr>
          <w:rFonts w:ascii="Calibri" w:hAnsi="Calibri" w:cs="Calibri"/>
        </w:rPr>
        <w:t>ompleksow</w:t>
      </w:r>
      <w:r w:rsidRPr="003D0B06">
        <w:rPr>
          <w:rFonts w:ascii="Calibri" w:hAnsi="Calibri" w:cs="Calibri"/>
        </w:rPr>
        <w:t>e</w:t>
      </w:r>
      <w:r w:rsidR="00362B89" w:rsidRPr="003D0B06">
        <w:rPr>
          <w:rFonts w:ascii="Calibri" w:hAnsi="Calibri" w:cs="Calibri"/>
        </w:rPr>
        <w:t xml:space="preserve"> </w:t>
      </w:r>
      <w:r w:rsidRPr="003D0B06">
        <w:rPr>
          <w:rFonts w:ascii="Calibri" w:hAnsi="Calibri" w:cs="Calibri"/>
        </w:rPr>
        <w:t>publikacje</w:t>
      </w:r>
      <w:r w:rsidR="00362B89" w:rsidRPr="003D0B06">
        <w:rPr>
          <w:rFonts w:ascii="Calibri" w:hAnsi="Calibri" w:cs="Calibri"/>
        </w:rPr>
        <w:t xml:space="preserve"> na temat obecnej sytuacji </w:t>
      </w:r>
      <w:r w:rsidRPr="003D0B06">
        <w:rPr>
          <w:rFonts w:ascii="Calibri" w:hAnsi="Calibri" w:cs="Calibri"/>
        </w:rPr>
        <w:t>społeczno-gospodarczej</w:t>
      </w:r>
      <w:r w:rsidR="00362B89" w:rsidRPr="003D0B06">
        <w:rPr>
          <w:rFonts w:ascii="Calibri" w:hAnsi="Calibri" w:cs="Calibri"/>
        </w:rPr>
        <w:t xml:space="preserve"> regionów</w:t>
      </w:r>
      <w:r w:rsidRPr="003D0B06">
        <w:rPr>
          <w:rFonts w:ascii="Calibri" w:hAnsi="Calibri" w:cs="Calibri"/>
        </w:rPr>
        <w:t>, zlokalizowanych w obszarze ciążenia</w:t>
      </w:r>
      <w:r w:rsidR="00362B89" w:rsidRPr="003D0B06">
        <w:rPr>
          <w:rFonts w:ascii="Calibri" w:hAnsi="Calibri" w:cs="Calibri"/>
        </w:rPr>
        <w:t xml:space="preserve"> lokalnych</w:t>
      </w:r>
      <w:r w:rsidRPr="003D0B06">
        <w:rPr>
          <w:rFonts w:ascii="Calibri" w:hAnsi="Calibri" w:cs="Calibri"/>
        </w:rPr>
        <w:t>/regionalnych</w:t>
      </w:r>
      <w:r w:rsidR="00362B89" w:rsidRPr="003D0B06">
        <w:rPr>
          <w:rFonts w:ascii="Calibri" w:hAnsi="Calibri" w:cs="Calibri"/>
        </w:rPr>
        <w:t xml:space="preserve"> portów Południowego Bałtyku. Raport</w:t>
      </w:r>
      <w:r w:rsidRPr="003D0B06">
        <w:rPr>
          <w:rFonts w:ascii="Calibri" w:hAnsi="Calibri" w:cs="Calibri"/>
        </w:rPr>
        <w:t>y</w:t>
      </w:r>
      <w:r w:rsidR="00362B89" w:rsidRPr="003D0B06">
        <w:rPr>
          <w:rFonts w:ascii="Calibri" w:hAnsi="Calibri" w:cs="Calibri"/>
        </w:rPr>
        <w:t xml:space="preserve"> zawiera</w:t>
      </w:r>
      <w:r w:rsidRPr="003D0B06">
        <w:rPr>
          <w:rFonts w:ascii="Calibri" w:hAnsi="Calibri" w:cs="Calibri"/>
        </w:rPr>
        <w:t>ją</w:t>
      </w:r>
      <w:r w:rsidR="00362B89" w:rsidRPr="003D0B06">
        <w:rPr>
          <w:rFonts w:ascii="Calibri" w:hAnsi="Calibri" w:cs="Calibri"/>
        </w:rPr>
        <w:t xml:space="preserve"> wyniki szczegółowych badań i analiz systemu transportowego oraz infrastruktury transportowej </w:t>
      </w:r>
      <w:r w:rsidR="008F6A01" w:rsidRPr="003D0B06">
        <w:rPr>
          <w:rFonts w:ascii="Calibri" w:hAnsi="Calibri" w:cs="Calibri"/>
        </w:rPr>
        <w:t xml:space="preserve">w regionie </w:t>
      </w:r>
      <w:r w:rsidR="00362B89" w:rsidRPr="003D0B06">
        <w:rPr>
          <w:rFonts w:ascii="Calibri" w:hAnsi="Calibri" w:cs="Calibri"/>
        </w:rPr>
        <w:t xml:space="preserve">(drogi, kolej, śródlądowe drogi wodne, infrastruktura portowa). </w:t>
      </w:r>
      <w:r w:rsidRPr="003D0B06">
        <w:rPr>
          <w:rFonts w:ascii="Calibri" w:hAnsi="Calibri" w:cs="Calibri"/>
        </w:rPr>
        <w:t>O</w:t>
      </w:r>
      <w:r w:rsidR="00362B89" w:rsidRPr="003D0B06">
        <w:rPr>
          <w:rFonts w:ascii="Calibri" w:hAnsi="Calibri" w:cs="Calibri"/>
        </w:rPr>
        <w:t>bejm</w:t>
      </w:r>
      <w:r w:rsidR="00FD369F" w:rsidRPr="003D0B06">
        <w:rPr>
          <w:rFonts w:ascii="Calibri" w:hAnsi="Calibri" w:cs="Calibri"/>
        </w:rPr>
        <w:t>uj</w:t>
      </w:r>
      <w:r w:rsidRPr="003D0B06">
        <w:rPr>
          <w:rFonts w:ascii="Calibri" w:hAnsi="Calibri" w:cs="Calibri"/>
        </w:rPr>
        <w:t>ą</w:t>
      </w:r>
      <w:r w:rsidR="00362B89" w:rsidRPr="003D0B06">
        <w:rPr>
          <w:rFonts w:ascii="Calibri" w:hAnsi="Calibri" w:cs="Calibri"/>
        </w:rPr>
        <w:t xml:space="preserve"> również analizę współpracy transgranicznej portów lokalnych, potrzeby w zakresie inwestycji i rozwoju oraz bariery rozwoju</w:t>
      </w:r>
      <w:r w:rsidR="008F6A01" w:rsidRPr="003D0B06">
        <w:rPr>
          <w:rFonts w:ascii="Calibri" w:hAnsi="Calibri" w:cs="Calibri"/>
        </w:rPr>
        <w:t>.</w:t>
      </w:r>
      <w:r w:rsidRPr="003D0B06">
        <w:rPr>
          <w:rFonts w:ascii="Calibri" w:hAnsi="Calibri" w:cs="Calibri"/>
        </w:rPr>
        <w:t xml:space="preserve"> Ponadto dwie publikacje dedykowane są analizie dystrybucji ładunków oraz prognozom rozwoju SSS.</w:t>
      </w:r>
    </w:p>
    <w:p w14:paraId="3D0C190B" w14:textId="5B7C78AB" w:rsidR="00362B89" w:rsidRPr="003D0B06" w:rsidRDefault="00362B89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</w:rPr>
      </w:pPr>
      <w:r w:rsidRPr="003D0B06">
        <w:rPr>
          <w:rFonts w:ascii="Calibri" w:hAnsi="Calibri" w:cs="Calibri"/>
        </w:rPr>
        <w:t>Komputerowy model przepływu ładunków w regionie Południowego Bałtyku</w:t>
      </w:r>
      <w:r w:rsidR="00B044EE" w:rsidRPr="003D0B06">
        <w:rPr>
          <w:rFonts w:ascii="Calibri" w:hAnsi="Calibri" w:cs="Calibri"/>
        </w:rPr>
        <w:t xml:space="preserve"> i Morza Północnego</w:t>
      </w:r>
      <w:r w:rsidRPr="003D0B06">
        <w:rPr>
          <w:rFonts w:ascii="Calibri" w:hAnsi="Calibri" w:cs="Calibri"/>
        </w:rPr>
        <w:t>. Jego zakres</w:t>
      </w:r>
      <w:r w:rsidR="00FD369F" w:rsidRPr="003D0B06">
        <w:rPr>
          <w:rFonts w:ascii="Calibri" w:hAnsi="Calibri" w:cs="Calibri"/>
        </w:rPr>
        <w:t xml:space="preserve"> obejmuje</w:t>
      </w:r>
      <w:r w:rsidRPr="003D0B06">
        <w:rPr>
          <w:rFonts w:ascii="Calibri" w:hAnsi="Calibri" w:cs="Calibri"/>
        </w:rPr>
        <w:t xml:space="preserve"> międzynarodow</w:t>
      </w:r>
      <w:r w:rsidR="003B71AF" w:rsidRPr="003D0B06">
        <w:rPr>
          <w:rFonts w:ascii="Calibri" w:hAnsi="Calibri" w:cs="Calibri"/>
        </w:rPr>
        <w:t>y</w:t>
      </w:r>
      <w:r w:rsidRPr="003D0B06">
        <w:rPr>
          <w:rFonts w:ascii="Calibri" w:hAnsi="Calibri" w:cs="Calibri"/>
        </w:rPr>
        <w:t xml:space="preserve"> </w:t>
      </w:r>
      <w:r w:rsidR="00FD369F" w:rsidRPr="003D0B06">
        <w:rPr>
          <w:rFonts w:ascii="Calibri" w:hAnsi="Calibri" w:cs="Calibri"/>
        </w:rPr>
        <w:t>transport wodny oraz</w:t>
      </w:r>
      <w:r w:rsidRPr="003D0B06">
        <w:rPr>
          <w:rFonts w:ascii="Calibri" w:hAnsi="Calibri" w:cs="Calibri"/>
        </w:rPr>
        <w:t xml:space="preserve"> drogowy</w:t>
      </w:r>
      <w:r w:rsidR="008F6A01" w:rsidRPr="003D0B06">
        <w:rPr>
          <w:rFonts w:ascii="Calibri" w:hAnsi="Calibri" w:cs="Calibri"/>
        </w:rPr>
        <w:t xml:space="preserve">. </w:t>
      </w:r>
      <w:r w:rsidR="00FD369F" w:rsidRPr="003D0B06">
        <w:rPr>
          <w:rFonts w:ascii="Calibri" w:hAnsi="Calibri" w:cs="Calibri"/>
        </w:rPr>
        <w:t>Celem symulatora jest pokazanie korzyści z wykorzystania żeglugi morskiej bliskiego zasięgu do transportu ładunków, bazując na cenie, czasie oraz wpływie na środowisko naturalne.</w:t>
      </w:r>
    </w:p>
    <w:p w14:paraId="14299D9B" w14:textId="26DCF1ED" w:rsidR="00362B89" w:rsidRPr="003D0B06" w:rsidRDefault="00362B89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</w:rPr>
      </w:pPr>
      <w:r w:rsidRPr="003D0B06">
        <w:rPr>
          <w:rFonts w:ascii="Calibri" w:hAnsi="Calibri" w:cs="Calibri"/>
        </w:rPr>
        <w:t>W ramach projektu przeprowadzon</w:t>
      </w:r>
      <w:r w:rsidR="00FD369F" w:rsidRPr="003D0B06">
        <w:rPr>
          <w:rFonts w:ascii="Calibri" w:hAnsi="Calibri" w:cs="Calibri"/>
        </w:rPr>
        <w:t>y</w:t>
      </w:r>
      <w:r w:rsidRPr="003D0B06">
        <w:rPr>
          <w:rFonts w:ascii="Calibri" w:hAnsi="Calibri" w:cs="Calibri"/>
        </w:rPr>
        <w:t xml:space="preserve"> zosta</w:t>
      </w:r>
      <w:r w:rsidR="00FD369F" w:rsidRPr="003D0B06">
        <w:rPr>
          <w:rFonts w:ascii="Calibri" w:hAnsi="Calibri" w:cs="Calibri"/>
        </w:rPr>
        <w:t>ł pierwszy</w:t>
      </w:r>
      <w:r w:rsidRPr="003D0B06">
        <w:rPr>
          <w:rFonts w:ascii="Calibri" w:hAnsi="Calibri" w:cs="Calibri"/>
        </w:rPr>
        <w:t xml:space="preserve"> rejs pilotażow</w:t>
      </w:r>
      <w:r w:rsidR="003B71AF" w:rsidRPr="003D0B06">
        <w:rPr>
          <w:rFonts w:ascii="Calibri" w:hAnsi="Calibri" w:cs="Calibri"/>
        </w:rPr>
        <w:t>y</w:t>
      </w:r>
      <w:r w:rsidR="00FD369F" w:rsidRPr="003D0B06">
        <w:rPr>
          <w:rFonts w:ascii="Calibri" w:hAnsi="Calibri" w:cs="Calibri"/>
        </w:rPr>
        <w:t xml:space="preserve"> na trasie </w:t>
      </w:r>
      <w:proofErr w:type="spellStart"/>
      <w:r w:rsidR="00FD369F" w:rsidRPr="003D0B06">
        <w:rPr>
          <w:rFonts w:ascii="Calibri" w:hAnsi="Calibri" w:cs="Calibri"/>
        </w:rPr>
        <w:t>Vordingborg</w:t>
      </w:r>
      <w:proofErr w:type="spellEnd"/>
      <w:r w:rsidR="00FD369F" w:rsidRPr="003D0B06">
        <w:rPr>
          <w:rFonts w:ascii="Calibri" w:hAnsi="Calibri" w:cs="Calibri"/>
        </w:rPr>
        <w:t xml:space="preserve"> – Stepnica – Kołobrzeg. Drugi (finalny) rejs, który zakończy się konferencją zamykającą projekt INCONE60</w:t>
      </w:r>
      <w:r w:rsidR="003B71AF" w:rsidRPr="003D0B06">
        <w:rPr>
          <w:rFonts w:ascii="Calibri" w:hAnsi="Calibri" w:cs="Calibri"/>
        </w:rPr>
        <w:t>,</w:t>
      </w:r>
      <w:r w:rsidR="00FD369F" w:rsidRPr="003D0B06">
        <w:rPr>
          <w:rFonts w:ascii="Calibri" w:hAnsi="Calibri" w:cs="Calibri"/>
        </w:rPr>
        <w:t xml:space="preserve"> odbędzie się na trasie </w:t>
      </w:r>
      <w:proofErr w:type="spellStart"/>
      <w:r w:rsidR="00FD369F" w:rsidRPr="003D0B06">
        <w:rPr>
          <w:rFonts w:ascii="Calibri" w:hAnsi="Calibri" w:cs="Calibri"/>
        </w:rPr>
        <w:t>Vordingborg</w:t>
      </w:r>
      <w:proofErr w:type="spellEnd"/>
      <w:r w:rsidR="00FD369F" w:rsidRPr="003D0B06">
        <w:rPr>
          <w:rFonts w:ascii="Calibri" w:hAnsi="Calibri" w:cs="Calibri"/>
        </w:rPr>
        <w:t xml:space="preserve"> – Władysławowo </w:t>
      </w:r>
      <w:r w:rsidR="003B71AF" w:rsidRPr="003D0B06">
        <w:rPr>
          <w:rFonts w:ascii="Calibri" w:hAnsi="Calibri" w:cs="Calibri"/>
        </w:rPr>
        <w:t>–</w:t>
      </w:r>
      <w:r w:rsidR="00FD369F" w:rsidRPr="003D0B06">
        <w:rPr>
          <w:rFonts w:ascii="Calibri" w:hAnsi="Calibri" w:cs="Calibri"/>
        </w:rPr>
        <w:t xml:space="preserve"> </w:t>
      </w:r>
      <w:proofErr w:type="spellStart"/>
      <w:r w:rsidR="00FD369F" w:rsidRPr="003D0B06">
        <w:rPr>
          <w:rFonts w:ascii="Calibri" w:hAnsi="Calibri" w:cs="Calibri"/>
        </w:rPr>
        <w:t>Kłaipeda</w:t>
      </w:r>
      <w:proofErr w:type="spellEnd"/>
      <w:r w:rsidR="003B71AF" w:rsidRPr="003D0B06">
        <w:rPr>
          <w:rFonts w:ascii="Calibri" w:hAnsi="Calibri" w:cs="Calibri"/>
        </w:rPr>
        <w:t xml:space="preserve"> (przedmiot niniejszego zamówienia)</w:t>
      </w:r>
      <w:r w:rsidRPr="003D0B06">
        <w:rPr>
          <w:rFonts w:ascii="Calibri" w:hAnsi="Calibri" w:cs="Calibri"/>
        </w:rPr>
        <w:t xml:space="preserve">. </w:t>
      </w:r>
      <w:r w:rsidR="00FD369F" w:rsidRPr="003D0B06">
        <w:rPr>
          <w:rFonts w:ascii="Calibri" w:hAnsi="Calibri" w:cs="Calibri"/>
        </w:rPr>
        <w:t>Celem tych rejsów jest pokazanie możliwości wykorzystania małych portów morskich do obsługi statków morsko rzecznych oraz przedstawienie potencjału tych struktur portowych</w:t>
      </w:r>
      <w:r w:rsidRPr="003D0B06">
        <w:rPr>
          <w:rFonts w:ascii="Calibri" w:hAnsi="Calibri" w:cs="Calibri"/>
        </w:rPr>
        <w:t xml:space="preserve">. </w:t>
      </w:r>
    </w:p>
    <w:p w14:paraId="1F145E19" w14:textId="727E4122" w:rsidR="00AD5912" w:rsidRPr="003D0B06" w:rsidRDefault="00AD5912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</w:rPr>
      </w:pPr>
      <w:r w:rsidRPr="003D0B06">
        <w:rPr>
          <w:rFonts w:ascii="Calibri" w:hAnsi="Calibri" w:cs="Calibri"/>
        </w:rPr>
        <w:lastRenderedPageBreak/>
        <w:t xml:space="preserve">W ramach projektu tworzona jest sieć biznesowa </w:t>
      </w:r>
      <w:proofErr w:type="spellStart"/>
      <w:r w:rsidRPr="003D0B06">
        <w:rPr>
          <w:rFonts w:ascii="Calibri" w:hAnsi="Calibri" w:cs="Calibri"/>
        </w:rPr>
        <w:t>INCOnet</w:t>
      </w:r>
      <w:proofErr w:type="spellEnd"/>
      <w:r w:rsidRPr="003D0B06">
        <w:rPr>
          <w:rFonts w:ascii="Calibri" w:hAnsi="Calibri" w:cs="Calibri"/>
        </w:rPr>
        <w:t xml:space="preserve"> Business Network. Zrzesza ona wyłącznie podmioty, zaangażowane w rozwój portów morskich oraz żeglugi morskiej bliskiego zasięgu. Je</w:t>
      </w:r>
      <w:r w:rsidR="00833B09" w:rsidRPr="003D0B06">
        <w:rPr>
          <w:rFonts w:ascii="Calibri" w:hAnsi="Calibri" w:cs="Calibri"/>
        </w:rPr>
        <w:t>j</w:t>
      </w:r>
      <w:r w:rsidRPr="003D0B06">
        <w:rPr>
          <w:rFonts w:ascii="Calibri" w:hAnsi="Calibri" w:cs="Calibri"/>
        </w:rPr>
        <w:t xml:space="preserve"> celem jest zintegrowanie portów w regionie Południowego Bałtyku, zwiększenie ich atrakcyjności inwestycyjnej, gotowości technologicznej oraz </w:t>
      </w:r>
      <w:r w:rsidR="00A61CFF" w:rsidRPr="003D0B06">
        <w:rPr>
          <w:rFonts w:ascii="Calibri" w:hAnsi="Calibri" w:cs="Calibri"/>
        </w:rPr>
        <w:t>stworzenie realnych powiązań biznesowych.</w:t>
      </w:r>
    </w:p>
    <w:p w14:paraId="4DF24E9C" w14:textId="5105CE33" w:rsidR="00A61CFF" w:rsidRPr="003D0B06" w:rsidRDefault="002309C9" w:rsidP="003068DC">
      <w:pPr>
        <w:pStyle w:val="Akapitzlist"/>
        <w:numPr>
          <w:ilvl w:val="0"/>
          <w:numId w:val="3"/>
        </w:numPr>
        <w:spacing w:after="200"/>
        <w:rPr>
          <w:rFonts w:ascii="Calibri" w:hAnsi="Calibri" w:cs="Calibri"/>
        </w:rPr>
      </w:pPr>
      <w:r w:rsidRPr="003D0B06">
        <w:rPr>
          <w:rFonts w:ascii="Calibri" w:hAnsi="Calibri" w:cs="Calibri"/>
        </w:rPr>
        <w:t>Powstaje również piąta publikacja opisująca techniki zarządzania małymi portami morskimi oraz pozyskiwania inwestorów. Jest ona tworzona przez zespół ekspertów pod kierownictwem doświadczonego managera. Będzie ona dedykowana wszystkim zarządom małych portów.</w:t>
      </w:r>
    </w:p>
    <w:p w14:paraId="1B8FF849" w14:textId="77777777" w:rsidR="003729D3" w:rsidRPr="003D0B06" w:rsidRDefault="003729D3" w:rsidP="003729D3">
      <w:pPr>
        <w:rPr>
          <w:rFonts w:ascii="Calibri" w:hAnsi="Calibri" w:cs="Calibri"/>
          <w:b/>
        </w:rPr>
      </w:pPr>
      <w:r w:rsidRPr="003D0B06">
        <w:rPr>
          <w:rFonts w:ascii="Calibri" w:hAnsi="Calibri" w:cs="Calibri"/>
          <w:b/>
        </w:rPr>
        <w:t>Międzynarodowa droga wodna E60</w:t>
      </w:r>
    </w:p>
    <w:p w14:paraId="7D34CC1A" w14:textId="77777777" w:rsidR="003729D3" w:rsidRPr="003D0B06" w:rsidRDefault="003729D3" w:rsidP="003729D3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Międzynarodowa droga wodna E60 jest śródlądową drogą wodną/morskim szlakiem przybrzeżnym, którego główna trasa biegnie </w:t>
      </w:r>
      <w:r w:rsidRPr="003D0B06">
        <w:rPr>
          <w:rFonts w:ascii="Calibri" w:hAnsi="Calibri" w:cs="Calibri"/>
          <w:b/>
        </w:rPr>
        <w:t xml:space="preserve">od Gibraltaru </w:t>
      </w:r>
      <w:r w:rsidRPr="003D0B06">
        <w:rPr>
          <w:rFonts w:ascii="Calibri" w:hAnsi="Calibri" w:cs="Calibri"/>
        </w:rPr>
        <w:t xml:space="preserve">na północ wzdłuż wybrzeży Portugalii, Hiszpanii, Francji, Belgii, Holandii, Niemiec, Polski, Litwy, Łotwy, Estonii, Rosji do drogi wodnej </w:t>
      </w:r>
      <w:proofErr w:type="spellStart"/>
      <w:r w:rsidRPr="003D0B06">
        <w:rPr>
          <w:rFonts w:ascii="Calibri" w:hAnsi="Calibri" w:cs="Calibri"/>
        </w:rPr>
        <w:t>Sankt</w:t>
      </w:r>
      <w:proofErr w:type="spellEnd"/>
      <w:r w:rsidRPr="003D0B06">
        <w:rPr>
          <w:rFonts w:ascii="Calibri" w:hAnsi="Calibri" w:cs="Calibri"/>
        </w:rPr>
        <w:t>-</w:t>
      </w:r>
      <w:proofErr w:type="spellStart"/>
      <w:r w:rsidRPr="003D0B06">
        <w:rPr>
          <w:rFonts w:ascii="Calibri" w:hAnsi="Calibri" w:cs="Calibri"/>
        </w:rPr>
        <w:t>Peterburg</w:t>
      </w:r>
      <w:proofErr w:type="spellEnd"/>
      <w:r w:rsidRPr="003D0B06">
        <w:rPr>
          <w:rFonts w:ascii="Calibri" w:hAnsi="Calibri" w:cs="Calibri"/>
        </w:rPr>
        <w:t xml:space="preserve">-Wołga-Bałtyk, dalej przez Kanał Bałtycko – Białomorski, następnie wzdłuż wybrzeża Morza Białego </w:t>
      </w:r>
      <w:r w:rsidRPr="003D0B06">
        <w:rPr>
          <w:rFonts w:ascii="Calibri" w:hAnsi="Calibri" w:cs="Calibri"/>
          <w:b/>
        </w:rPr>
        <w:t>do Archangielska</w:t>
      </w:r>
      <w:r w:rsidRPr="003D0B06">
        <w:rPr>
          <w:rFonts w:ascii="Calibri" w:hAnsi="Calibri" w:cs="Calibri"/>
        </w:rPr>
        <w:t>.</w:t>
      </w:r>
      <w:r w:rsidRPr="003D0B06">
        <w:rPr>
          <w:rStyle w:val="Odwoanieprzypisudolnego"/>
          <w:rFonts w:ascii="Calibri" w:hAnsi="Calibri" w:cs="Calibri"/>
          <w:bCs/>
        </w:rPr>
        <w:footnoteReference w:id="1"/>
      </w:r>
    </w:p>
    <w:p w14:paraId="6D86FB80" w14:textId="77777777" w:rsidR="000A3EF0" w:rsidRPr="003D0B06" w:rsidRDefault="003729D3">
      <w:pPr>
        <w:jc w:val="center"/>
        <w:rPr>
          <w:rFonts w:ascii="Calibri" w:hAnsi="Calibri" w:cs="Calibri"/>
        </w:rPr>
      </w:pPr>
      <w:r w:rsidRPr="003D0B06">
        <w:rPr>
          <w:rFonts w:ascii="Calibri" w:hAnsi="Calibri" w:cs="Calibri"/>
          <w:noProof/>
          <w:lang w:eastAsia="pl-PL"/>
        </w:rPr>
        <w:drawing>
          <wp:inline distT="0" distB="0" distL="0" distR="0" wp14:anchorId="35F1B655" wp14:editId="14ECA8BB">
            <wp:extent cx="4752295" cy="2647967"/>
            <wp:effectExtent l="19050" t="0" r="0" b="0"/>
            <wp:docPr id="1026" name="Picture 2" descr="F:\prezentacja_elblag\E60_całoś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prezentacja_elblag\E60_całość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1" b="8958"/>
                    <a:stretch/>
                  </pic:blipFill>
                  <pic:spPr bwMode="auto">
                    <a:xfrm>
                      <a:off x="0" y="0"/>
                      <a:ext cx="4756070" cy="265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6B59A7" w14:textId="77777777" w:rsidR="00EA6FE1" w:rsidRPr="003D0B06" w:rsidRDefault="00BE238F" w:rsidP="00EF484B">
      <w:pPr>
        <w:pStyle w:val="Nagwek1"/>
        <w:rPr>
          <w:rFonts w:ascii="Calibri" w:hAnsi="Calibri" w:cs="Calibri"/>
        </w:rPr>
      </w:pPr>
      <w:r w:rsidRPr="003D0B06">
        <w:rPr>
          <w:rFonts w:ascii="Calibri" w:hAnsi="Calibri" w:cs="Calibri"/>
        </w:rPr>
        <w:lastRenderedPageBreak/>
        <w:t>Zakres usługi</w:t>
      </w:r>
    </w:p>
    <w:p w14:paraId="74D486D1" w14:textId="76B01A14" w:rsidR="007A23E2" w:rsidRPr="003D0B06" w:rsidRDefault="00026896" w:rsidP="007A23E2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Niniejsze zamówienie dotyczy wykonania usługi polegającej na organizacji niekomercyjnego rejsu pilotażowego barką morsko – rzeczną na trasie </w:t>
      </w:r>
      <w:proofErr w:type="spellStart"/>
      <w:r w:rsidRPr="003D0B06">
        <w:rPr>
          <w:rFonts w:ascii="Calibri" w:hAnsi="Calibri" w:cs="Calibri"/>
        </w:rPr>
        <w:t>Vordingborg</w:t>
      </w:r>
      <w:proofErr w:type="spellEnd"/>
      <w:r w:rsidRPr="003D0B06">
        <w:rPr>
          <w:rFonts w:ascii="Calibri" w:hAnsi="Calibri" w:cs="Calibri"/>
        </w:rPr>
        <w:t xml:space="preserve"> – Władysławowo – </w:t>
      </w:r>
      <w:proofErr w:type="spellStart"/>
      <w:r w:rsidRPr="003D0B06">
        <w:rPr>
          <w:rFonts w:ascii="Calibri" w:hAnsi="Calibri" w:cs="Calibri"/>
        </w:rPr>
        <w:t>Kłaipeda</w:t>
      </w:r>
      <w:proofErr w:type="spellEnd"/>
      <w:r w:rsidRPr="003D0B06">
        <w:rPr>
          <w:rFonts w:ascii="Calibri" w:hAnsi="Calibri" w:cs="Calibri"/>
        </w:rPr>
        <w:t xml:space="preserve">, wraz z opracowanie dokumentacji audiowizualnej na podstawie poniższej specyfikacji. </w:t>
      </w:r>
      <w:r w:rsidR="007A23E2" w:rsidRPr="003D0B06">
        <w:rPr>
          <w:rFonts w:ascii="Calibri" w:hAnsi="Calibri" w:cs="Calibri"/>
        </w:rPr>
        <w:t>Rejs pilotażowy ma na celu przedstawienie możliwości wykorzystania lokalnych portów morskich do obsługi ładunków generowanych w regionie Morza Bałtyckiego. W efekcie planuje się rozwój regularnych połączeń żeglugowych pomiędzy portami lokalnymi, zwiększenie ich znaczenia gospodarczego, rozwój regionów zlokalizowanych w obszarze ciążenia międzynarodowej drogi wodnej E 60 oraz przeniesienie części ładunków z dróg lądowych na drogi wodne.</w:t>
      </w:r>
    </w:p>
    <w:p w14:paraId="1844EF46" w14:textId="59A6A519" w:rsidR="000A3EF0" w:rsidRPr="003D0B06" w:rsidRDefault="007A23E2" w:rsidP="007A23E2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Założeniem rejsu jest również nawiązanie współpracy pomiędzy portami lokalnymi </w:t>
      </w:r>
      <w:r w:rsidR="000A1F14">
        <w:rPr>
          <w:rFonts w:ascii="Calibri" w:hAnsi="Calibri" w:cs="Calibri"/>
        </w:rPr>
        <w:br/>
      </w:r>
      <w:r w:rsidRPr="003D0B06">
        <w:rPr>
          <w:rFonts w:ascii="Calibri" w:hAnsi="Calibri" w:cs="Calibri"/>
        </w:rPr>
        <w:t xml:space="preserve">i wykorzystanie ich potencjału do rozwoju żeglugi morskiej bliskiego zasięgu. Efektem tego będzie redukcja emisji CO2 i negatywnego wpływu innych czynników zewnętrznych generowanych przez transport, takich jak: hałas, kongestia, koszty degradacji infrastruktury czy koszty wypadków. </w:t>
      </w:r>
    </w:p>
    <w:p w14:paraId="279C00E9" w14:textId="1FC52744" w:rsidR="00F72C38" w:rsidRPr="003D0B06" w:rsidRDefault="002C53F8" w:rsidP="007A23E2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>Wykonawca będzie odpowiedzialny za zapewnienie odpowiedniej barki morsko-rzecznej, która ma możliwość obsługi ładunków masowych</w:t>
      </w:r>
      <w:r w:rsidR="00473068" w:rsidRPr="003D0B06">
        <w:rPr>
          <w:rFonts w:ascii="Calibri" w:hAnsi="Calibri" w:cs="Calibri"/>
        </w:rPr>
        <w:t xml:space="preserve">, </w:t>
      </w:r>
      <w:r w:rsidR="00C74234" w:rsidRPr="003D0B06">
        <w:rPr>
          <w:rFonts w:ascii="Calibri" w:hAnsi="Calibri" w:cs="Calibri"/>
        </w:rPr>
        <w:t xml:space="preserve">a także </w:t>
      </w:r>
      <w:r w:rsidR="00473068" w:rsidRPr="003D0B06">
        <w:rPr>
          <w:rFonts w:ascii="Calibri" w:hAnsi="Calibri" w:cs="Calibri"/>
        </w:rPr>
        <w:t>wykfalifikowanego personelu, przy zachowaniu najwyższej jakości.</w:t>
      </w:r>
    </w:p>
    <w:p w14:paraId="26DBB221" w14:textId="77777777" w:rsidR="00473068" w:rsidRPr="003D0B06" w:rsidRDefault="00473068" w:rsidP="007A23E2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Barka morsko – rzeczna będzie zawijała do podanych powyżej portów, zgodnie z ustalonym z Zamawiającym harmonogramem. W każdym porcie będzie organizowane spotkanie/konferencja, z udziałem zainteresowanych podmiotów, za co będzie odpowiedzialny Zamawiający. Jednocześnie Wykonawca będzie wykonywał film promocyjny z wykorzystaniem </w:t>
      </w:r>
      <w:proofErr w:type="spellStart"/>
      <w:r w:rsidRPr="003D0B06">
        <w:rPr>
          <w:rFonts w:ascii="Calibri" w:hAnsi="Calibri" w:cs="Calibri"/>
        </w:rPr>
        <w:t>drona</w:t>
      </w:r>
      <w:proofErr w:type="spellEnd"/>
      <w:r w:rsidRPr="003D0B06">
        <w:rPr>
          <w:rFonts w:ascii="Calibri" w:hAnsi="Calibri" w:cs="Calibri"/>
        </w:rPr>
        <w:t xml:space="preserve">. Ma to na celu stworzenie filmu, który będzie promował region, lokalne porty morskie, żeglugę morską bliskiego zasięgu, projekt INCONE60 oraz program Południowy Bałtyk 2014-2020. </w:t>
      </w:r>
    </w:p>
    <w:p w14:paraId="554D5A67" w14:textId="77777777" w:rsidR="00331D17" w:rsidRPr="003D0B06" w:rsidRDefault="00331D17" w:rsidP="007A23E2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>Mając na uwadze to, że rejs ma charakter promocyjny, to barka morsko-rzeczna będzie oznaczona banerami z logotypami projektu, programu i innymi dostarczonymi przez Zamawiającego.</w:t>
      </w:r>
    </w:p>
    <w:p w14:paraId="13920706" w14:textId="77777777" w:rsidR="00D013B6" w:rsidRPr="003D0B06" w:rsidRDefault="00BE238F" w:rsidP="00EF484B">
      <w:pPr>
        <w:pStyle w:val="Nagwek1"/>
        <w:rPr>
          <w:rFonts w:ascii="Calibri" w:hAnsi="Calibri" w:cs="Calibri"/>
        </w:rPr>
      </w:pPr>
      <w:r w:rsidRPr="003D0B06">
        <w:rPr>
          <w:rFonts w:ascii="Calibri" w:hAnsi="Calibri" w:cs="Calibri"/>
        </w:rPr>
        <w:t>W</w:t>
      </w:r>
      <w:r w:rsidR="00C55A5C" w:rsidRPr="003D0B06">
        <w:rPr>
          <w:rFonts w:ascii="Calibri" w:hAnsi="Calibri" w:cs="Calibri"/>
        </w:rPr>
        <w:t>arunki realizacji usługi</w:t>
      </w:r>
    </w:p>
    <w:p w14:paraId="64243058" w14:textId="77777777" w:rsidR="00B104A6" w:rsidRPr="003D0B06" w:rsidRDefault="00B104A6" w:rsidP="003068DC">
      <w:pPr>
        <w:pStyle w:val="Akapitzlist"/>
        <w:numPr>
          <w:ilvl w:val="0"/>
          <w:numId w:val="2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Wymagania dotyczące statku obsługującego rejs pilotażowy:</w:t>
      </w:r>
    </w:p>
    <w:p w14:paraId="5B5F7E87" w14:textId="2D21A005" w:rsidR="00B104A6" w:rsidRPr="003D0B06" w:rsidRDefault="00B104A6" w:rsidP="003068DC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lastRenderedPageBreak/>
        <w:t xml:space="preserve">wykonawca musi zapewnić statek, którego parametry będą gwarantowały bezpieczne i bezproblemowe zawinięcie do portów </w:t>
      </w:r>
      <w:r w:rsidR="00311063" w:rsidRPr="003D0B06">
        <w:rPr>
          <w:rFonts w:ascii="Calibri" w:hAnsi="Calibri" w:cs="Calibri"/>
        </w:rPr>
        <w:t xml:space="preserve">morskich: </w:t>
      </w:r>
      <w:proofErr w:type="spellStart"/>
      <w:r w:rsidR="00311063" w:rsidRPr="003D0B06">
        <w:rPr>
          <w:rFonts w:ascii="Calibri" w:hAnsi="Calibri" w:cs="Calibri"/>
        </w:rPr>
        <w:t>Vordingborg</w:t>
      </w:r>
      <w:proofErr w:type="spellEnd"/>
      <w:r w:rsidRPr="003D0B06">
        <w:rPr>
          <w:rFonts w:ascii="Calibri" w:hAnsi="Calibri" w:cs="Calibri"/>
        </w:rPr>
        <w:t xml:space="preserve">, </w:t>
      </w:r>
      <w:r w:rsidR="000D089A" w:rsidRPr="003D0B06">
        <w:rPr>
          <w:rFonts w:ascii="Calibri" w:hAnsi="Calibri" w:cs="Calibri"/>
        </w:rPr>
        <w:t>Władysławowo</w:t>
      </w:r>
      <w:r w:rsidR="00311063" w:rsidRPr="003D0B06">
        <w:rPr>
          <w:rFonts w:ascii="Calibri" w:hAnsi="Calibri" w:cs="Calibri"/>
        </w:rPr>
        <w:t xml:space="preserve"> i </w:t>
      </w:r>
      <w:proofErr w:type="spellStart"/>
      <w:r w:rsidR="00311063" w:rsidRPr="003D0B06">
        <w:rPr>
          <w:rFonts w:ascii="Calibri" w:hAnsi="Calibri" w:cs="Calibri"/>
        </w:rPr>
        <w:t>K</w:t>
      </w:r>
      <w:r w:rsidR="000D089A" w:rsidRPr="003D0B06">
        <w:rPr>
          <w:rFonts w:ascii="Calibri" w:hAnsi="Calibri" w:cs="Calibri"/>
        </w:rPr>
        <w:t>łaipeda</w:t>
      </w:r>
      <w:proofErr w:type="spellEnd"/>
      <w:r w:rsidRPr="003D0B06">
        <w:rPr>
          <w:rFonts w:ascii="Calibri" w:hAnsi="Calibri" w:cs="Calibri"/>
        </w:rPr>
        <w:t>.</w:t>
      </w:r>
    </w:p>
    <w:p w14:paraId="7985E3B8" w14:textId="77777777" w:rsidR="00B104A6" w:rsidRPr="003D0B06" w:rsidRDefault="00B104A6" w:rsidP="003068DC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biorąc pod uwagę charakterystykę projektu INCONE60 i lokalnych portów morskich zlokalizowanych w regionie Morza Bałtyckiego, statek powinien być przystosowany do obsługi ładunków masowych.</w:t>
      </w:r>
    </w:p>
    <w:p w14:paraId="207E1284" w14:textId="77777777" w:rsidR="00B104A6" w:rsidRPr="003D0B06" w:rsidRDefault="00B104A6" w:rsidP="003068DC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statek powinien charakteryzować się nośnością 1400 – 2000 DWT, ze względu na ograniczenia </w:t>
      </w:r>
      <w:r w:rsidR="00AA74D6" w:rsidRPr="003D0B06">
        <w:rPr>
          <w:rFonts w:ascii="Calibri" w:hAnsi="Calibri" w:cs="Calibri"/>
        </w:rPr>
        <w:t xml:space="preserve">spowodowane </w:t>
      </w:r>
      <w:r w:rsidRPr="003D0B06">
        <w:rPr>
          <w:rFonts w:ascii="Calibri" w:hAnsi="Calibri" w:cs="Calibri"/>
        </w:rPr>
        <w:t>stanem infrastruktury portowej,</w:t>
      </w:r>
    </w:p>
    <w:p w14:paraId="1F99116B" w14:textId="68D4E457" w:rsidR="00B104A6" w:rsidRPr="000A1F14" w:rsidRDefault="00B104A6" w:rsidP="003068DC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statek powinien spełniać określone </w:t>
      </w:r>
      <w:r w:rsidR="00AA74D6" w:rsidRPr="003D0B06">
        <w:rPr>
          <w:rFonts w:ascii="Calibri" w:hAnsi="Calibri" w:cs="Calibri"/>
        </w:rPr>
        <w:t>wymagania, co</w:t>
      </w:r>
      <w:r w:rsidRPr="003D0B06">
        <w:rPr>
          <w:rFonts w:ascii="Calibri" w:hAnsi="Calibri" w:cs="Calibri"/>
        </w:rPr>
        <w:t xml:space="preserve"> do jego parametrów: maksymalna długość 80m, maksymalne zanurzenie 3,6m.</w:t>
      </w:r>
    </w:p>
    <w:p w14:paraId="4A48D0B2" w14:textId="3B02132E" w:rsidR="000A1F14" w:rsidRPr="003D0B06" w:rsidRDefault="000A1F14" w:rsidP="003068DC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0A1F14">
        <w:rPr>
          <w:rFonts w:ascii="Calibri" w:hAnsi="Calibri" w:cs="Calibri"/>
        </w:rPr>
        <w:t>statek powinien spełniać normę ISO 9001 2015.</w:t>
      </w:r>
    </w:p>
    <w:p w14:paraId="4E3E09F1" w14:textId="77777777" w:rsidR="00B104A6" w:rsidRPr="003D0B06" w:rsidRDefault="00B104A6" w:rsidP="003068DC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statek musi zostać oznaczony banerami projektu INCONE60, programu Południowy Bałtyk oraz innymi dostarczonymi przez Zamawiającego.</w:t>
      </w:r>
    </w:p>
    <w:p w14:paraId="2A08E785" w14:textId="39F2E789" w:rsidR="00E942E5" w:rsidRPr="003D0B06" w:rsidRDefault="000D089A" w:rsidP="00E942E5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k</w:t>
      </w:r>
      <w:r w:rsidR="00E942E5" w:rsidRPr="003D0B06">
        <w:rPr>
          <w:rFonts w:ascii="Calibri" w:hAnsi="Calibri" w:cs="Calibri"/>
        </w:rPr>
        <w:t xml:space="preserve">olejność zawijania do portów </w:t>
      </w:r>
      <w:r w:rsidR="000F0726">
        <w:rPr>
          <w:rFonts w:ascii="Calibri" w:hAnsi="Calibri" w:cs="Calibri"/>
        </w:rPr>
        <w:t>nie może być zmieniona</w:t>
      </w:r>
      <w:r w:rsidR="00E942E5" w:rsidRPr="003D0B06">
        <w:rPr>
          <w:rFonts w:ascii="Calibri" w:hAnsi="Calibri" w:cs="Calibri"/>
        </w:rPr>
        <w:t xml:space="preserve">. </w:t>
      </w:r>
    </w:p>
    <w:p w14:paraId="72D2EF05" w14:textId="2897E6DD" w:rsidR="00026896" w:rsidRPr="003D0B06" w:rsidRDefault="00026896" w:rsidP="00026896">
      <w:pPr>
        <w:pStyle w:val="Akapitzlist"/>
        <w:numPr>
          <w:ilvl w:val="0"/>
          <w:numId w:val="2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Wymagania dotyczące dokumentacji audiowizualnej Wykonawca, w ramach niniejszego zamówienia, jest zobowiązany do wykonania dokumentacji audiowizualnej, zgodnie z poniższymi wytycznymi:</w:t>
      </w:r>
    </w:p>
    <w:p w14:paraId="0D6DF74F" w14:textId="1F1A7AE2" w:rsidR="00026896" w:rsidRPr="003D0B06" w:rsidRDefault="00026896" w:rsidP="003D0B06">
      <w:pPr>
        <w:pStyle w:val="Akapitzlist"/>
        <w:numPr>
          <w:ilvl w:val="0"/>
          <w:numId w:val="15"/>
        </w:numPr>
      </w:pPr>
      <w:r w:rsidRPr="003D0B06">
        <w:rPr>
          <w:rFonts w:ascii="Calibri" w:hAnsi="Calibri" w:cs="Calibri"/>
        </w:rPr>
        <w:t xml:space="preserve">Dokumentacja audiowizualna musi zostać wykonana z wykorzystaniem </w:t>
      </w:r>
      <w:proofErr w:type="spellStart"/>
      <w:r w:rsidRPr="003D0B06">
        <w:rPr>
          <w:rFonts w:ascii="Calibri" w:hAnsi="Calibri" w:cs="Calibri"/>
        </w:rPr>
        <w:t>drona</w:t>
      </w:r>
      <w:proofErr w:type="spellEnd"/>
      <w:r w:rsidRPr="003D0B06">
        <w:rPr>
          <w:rFonts w:ascii="Calibri" w:hAnsi="Calibri" w:cs="Calibri"/>
        </w:rPr>
        <w:t>,</w:t>
      </w:r>
    </w:p>
    <w:p w14:paraId="4EB54C84" w14:textId="77777777" w:rsidR="00026896" w:rsidRPr="003D0B06" w:rsidRDefault="00026896" w:rsidP="003D0B0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Ujęcia muszą uwzględniać zawijanie do portów, wypływanie z portu, </w:t>
      </w:r>
    </w:p>
    <w:p w14:paraId="48554E51" w14:textId="77777777" w:rsidR="00026896" w:rsidRPr="000A1F14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Na filmie powinny znaleźć się również nagrania ewentualnych dodatkowych czynności wykonywanych podczas rejsu pilotażowego, np. demonstracyjnych przeładunków w portach, które będą miały na celu przedstawienie możliwości technicznych portów lokalnych do obsługi ładunków generowanych wzdłuż międzynarodowej drogi wodnej E60,</w:t>
      </w:r>
    </w:p>
    <w:p w14:paraId="2975F4C0" w14:textId="77777777" w:rsidR="00026896" w:rsidRPr="000A1F14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Na filmie muszą się znaleźć również sceny ze spotkań w portach.</w:t>
      </w:r>
    </w:p>
    <w:p w14:paraId="0B00EC73" w14:textId="77777777" w:rsidR="00026896" w:rsidRPr="000A1F14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Film musi być wykonany z podkładem dźwiękowym, który zostanie ustalony z Zamawiającym,</w:t>
      </w:r>
    </w:p>
    <w:p w14:paraId="37F14648" w14:textId="77777777" w:rsidR="00026896" w:rsidRPr="000A1F14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>Na filmie muszą znaleźć się logotypy projektu INCONE60, programu Południowy Bałtyk, Instytutu Morskiego, Uniwersytetu Morskiego w Gdyni, Europejskiego Funduszu Rozwoju Regionalnego oraz innych dodatkowych. Wszystkie materiały graficzne zostaną dostarczone przez Zamawiającego.</w:t>
      </w:r>
    </w:p>
    <w:p w14:paraId="7ABFD83A" w14:textId="77777777" w:rsidR="00026896" w:rsidRPr="000A1F14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lastRenderedPageBreak/>
        <w:t>Film musi być wykonany, w rozdzielczości 4K.</w:t>
      </w:r>
    </w:p>
    <w:p w14:paraId="2C52DE74" w14:textId="77777777" w:rsidR="00026896" w:rsidRPr="000A1F14" w:rsidRDefault="00026896" w:rsidP="00026896">
      <w:pPr>
        <w:pStyle w:val="Akapitzlist"/>
        <w:numPr>
          <w:ilvl w:val="0"/>
          <w:numId w:val="15"/>
        </w:num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Ujęcia filmu muszą być wykonane tak, aby korzystnie przedstawiały lokalne porty morskie. </w:t>
      </w:r>
    </w:p>
    <w:p w14:paraId="1C455459" w14:textId="0CFD81D8" w:rsidR="00026896" w:rsidRPr="003D0B06" w:rsidRDefault="00026896" w:rsidP="003D0B06">
      <w:pPr>
        <w:pStyle w:val="Akapitzlist"/>
        <w:numPr>
          <w:ilvl w:val="0"/>
          <w:numId w:val="15"/>
        </w:numPr>
      </w:pPr>
      <w:r w:rsidRPr="003D0B06">
        <w:rPr>
          <w:rFonts w:ascii="Calibri" w:hAnsi="Calibri" w:cs="Calibri"/>
        </w:rPr>
        <w:t>Film zostanie przekazany Zamawiającemu poprzez udostępnienie go w chmurze lub na nośniku cyfrowym, po jego akceptacji i uwzględnieniu uwag Zamawiającego.</w:t>
      </w:r>
    </w:p>
    <w:p w14:paraId="4A5FBA5B" w14:textId="77777777" w:rsidR="00B104A6" w:rsidRPr="003D0B06" w:rsidRDefault="00B104A6">
      <w:pPr>
        <w:pStyle w:val="Nagwek1"/>
        <w:rPr>
          <w:rFonts w:ascii="Calibri" w:hAnsi="Calibri" w:cs="Calibri"/>
        </w:rPr>
      </w:pPr>
      <w:r w:rsidRPr="003D0B06">
        <w:rPr>
          <w:rFonts w:ascii="Calibri" w:hAnsi="Calibri" w:cs="Calibri"/>
        </w:rPr>
        <w:t>Termin realizacji usługi</w:t>
      </w:r>
    </w:p>
    <w:p w14:paraId="4F3BC933" w14:textId="1975DA78" w:rsidR="0057241E" w:rsidRPr="00363B67" w:rsidRDefault="00B104A6" w:rsidP="00363B67">
      <w:pPr>
        <w:rPr>
          <w:rFonts w:ascii="Calibri" w:hAnsi="Calibri" w:cs="Calibri"/>
        </w:rPr>
      </w:pPr>
      <w:r w:rsidRPr="003D0B06">
        <w:rPr>
          <w:rFonts w:ascii="Calibri" w:hAnsi="Calibri" w:cs="Calibri"/>
        </w:rPr>
        <w:t xml:space="preserve">Usługa zostanie wykonana w terminie </w:t>
      </w:r>
      <w:r w:rsidR="00371C96" w:rsidRPr="003D0B06">
        <w:rPr>
          <w:rFonts w:ascii="Calibri" w:hAnsi="Calibri" w:cs="Calibri"/>
          <w:b/>
        </w:rPr>
        <w:t>10</w:t>
      </w:r>
      <w:r w:rsidRPr="003D0B06">
        <w:rPr>
          <w:rFonts w:ascii="Calibri" w:hAnsi="Calibri" w:cs="Calibri"/>
          <w:b/>
        </w:rPr>
        <w:t>-</w:t>
      </w:r>
      <w:r w:rsidR="00371C96" w:rsidRPr="003D0B06">
        <w:rPr>
          <w:rFonts w:ascii="Calibri" w:hAnsi="Calibri" w:cs="Calibri"/>
          <w:b/>
        </w:rPr>
        <w:t>12</w:t>
      </w:r>
      <w:r w:rsidRPr="003D0B06">
        <w:rPr>
          <w:rFonts w:ascii="Calibri" w:hAnsi="Calibri" w:cs="Calibri"/>
          <w:b/>
        </w:rPr>
        <w:t xml:space="preserve"> </w:t>
      </w:r>
      <w:r w:rsidR="00026896" w:rsidRPr="000A1F14">
        <w:rPr>
          <w:rFonts w:ascii="Calibri" w:hAnsi="Calibri" w:cs="Calibri"/>
          <w:b/>
        </w:rPr>
        <w:t>maja</w:t>
      </w:r>
      <w:r w:rsidR="00026896" w:rsidRPr="003D0B06">
        <w:rPr>
          <w:rFonts w:ascii="Calibri" w:hAnsi="Calibri" w:cs="Calibri"/>
          <w:b/>
        </w:rPr>
        <w:t xml:space="preserve"> </w:t>
      </w:r>
      <w:r w:rsidRPr="003D0B06">
        <w:rPr>
          <w:rFonts w:ascii="Calibri" w:hAnsi="Calibri" w:cs="Calibri"/>
          <w:b/>
        </w:rPr>
        <w:t>202</w:t>
      </w:r>
      <w:r w:rsidR="00371C96" w:rsidRPr="003D0B06">
        <w:rPr>
          <w:rFonts w:ascii="Calibri" w:hAnsi="Calibri" w:cs="Calibri"/>
          <w:b/>
        </w:rPr>
        <w:t>2</w:t>
      </w:r>
      <w:r w:rsidRPr="003D0B06">
        <w:rPr>
          <w:rFonts w:ascii="Calibri" w:hAnsi="Calibri" w:cs="Calibri"/>
          <w:b/>
        </w:rPr>
        <w:t xml:space="preserve"> roku</w:t>
      </w:r>
      <w:r w:rsidRPr="003D0B06">
        <w:rPr>
          <w:rFonts w:ascii="Calibri" w:hAnsi="Calibri" w:cs="Calibri"/>
        </w:rPr>
        <w:t xml:space="preserve">. </w:t>
      </w:r>
      <w:r w:rsidR="00371C96" w:rsidRPr="003D0B06">
        <w:rPr>
          <w:rFonts w:ascii="Calibri" w:hAnsi="Calibri" w:cs="Calibri"/>
        </w:rPr>
        <w:t>Ze względu na współzależność podróży z konferencjami w portach, data ta nie może zostać zmieniona.</w:t>
      </w:r>
    </w:p>
    <w:sectPr w:rsidR="0057241E" w:rsidRPr="00363B67" w:rsidSect="000D6A21">
      <w:headerReference w:type="default" r:id="rId9"/>
      <w:footerReference w:type="even" r:id="rId10"/>
      <w:foot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85371" w14:textId="77777777" w:rsidR="00781BA1" w:rsidRDefault="00781BA1" w:rsidP="003729D3">
      <w:r>
        <w:separator/>
      </w:r>
    </w:p>
  </w:endnote>
  <w:endnote w:type="continuationSeparator" w:id="0">
    <w:p w14:paraId="6CC5A0E2" w14:textId="77777777" w:rsidR="00781BA1" w:rsidRDefault="00781BA1" w:rsidP="0037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749654739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8DBECFF" w14:textId="77777777" w:rsidR="00D64C93" w:rsidRDefault="000A3EF0" w:rsidP="003729D3">
        <w:pPr>
          <w:pStyle w:val="Stopka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D64C93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33552A">
          <w:rPr>
            <w:rStyle w:val="Numerstrony"/>
            <w:noProof/>
          </w:rPr>
          <w:t>9</w:t>
        </w:r>
        <w:r>
          <w:rPr>
            <w:rStyle w:val="Numerstrony"/>
          </w:rPr>
          <w:fldChar w:fldCharType="end"/>
        </w:r>
      </w:p>
    </w:sdtContent>
  </w:sdt>
  <w:p w14:paraId="281FFB4F" w14:textId="77777777" w:rsidR="00D64C93" w:rsidRDefault="00D64C93" w:rsidP="00372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52036324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BB0B053" w14:textId="77777777" w:rsidR="00D64C93" w:rsidRDefault="000A3EF0" w:rsidP="003729D3">
        <w:pPr>
          <w:pStyle w:val="Stopka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D64C93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FF74D9">
          <w:rPr>
            <w:rStyle w:val="Numerstrony"/>
            <w:noProof/>
          </w:rPr>
          <w:t>7</w:t>
        </w:r>
        <w:r>
          <w:rPr>
            <w:rStyle w:val="Numerstrony"/>
          </w:rPr>
          <w:fldChar w:fldCharType="end"/>
        </w:r>
      </w:p>
    </w:sdtContent>
  </w:sdt>
  <w:p w14:paraId="446958DD" w14:textId="77777777" w:rsidR="00D64C93" w:rsidRDefault="00D64C93" w:rsidP="00372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5F4A0" w14:textId="77777777" w:rsidR="00781BA1" w:rsidRDefault="00781BA1" w:rsidP="003729D3">
      <w:r>
        <w:separator/>
      </w:r>
    </w:p>
  </w:footnote>
  <w:footnote w:type="continuationSeparator" w:id="0">
    <w:p w14:paraId="69789E50" w14:textId="77777777" w:rsidR="00781BA1" w:rsidRDefault="00781BA1" w:rsidP="003729D3">
      <w:r>
        <w:continuationSeparator/>
      </w:r>
    </w:p>
  </w:footnote>
  <w:footnote w:id="1">
    <w:p w14:paraId="6812ADFE" w14:textId="77777777" w:rsidR="003729D3" w:rsidRPr="001624D3" w:rsidRDefault="003729D3" w:rsidP="003729D3">
      <w:pPr>
        <w:pStyle w:val="Tekstprzypisudolnego"/>
        <w:rPr>
          <w:lang w:val="en-US"/>
        </w:rPr>
      </w:pPr>
      <w:r>
        <w:rPr>
          <w:rStyle w:val="Odwoanieprzypisudolnego"/>
        </w:rPr>
        <w:footnoteRef/>
      </w:r>
      <w:r w:rsidRPr="001624D3">
        <w:rPr>
          <w:lang w:val="en-US"/>
        </w:rPr>
        <w:t xml:space="preserve"> European Agreement on Main Inland Waterways of International Importance (AGN), Economic Commission for Europe Inland Transport </w:t>
      </w:r>
      <w:proofErr w:type="spellStart"/>
      <w:r w:rsidRPr="001624D3">
        <w:rPr>
          <w:lang w:val="en-US"/>
        </w:rPr>
        <w:t>Committe</w:t>
      </w:r>
      <w:proofErr w:type="spellEnd"/>
      <w:r w:rsidRPr="001624D3">
        <w:rPr>
          <w:lang w:val="en-US"/>
        </w:rPr>
        <w:t>, Geneva 1996</w:t>
      </w:r>
    </w:p>
    <w:p w14:paraId="2FA9C609" w14:textId="77777777" w:rsidR="003729D3" w:rsidRPr="001624D3" w:rsidRDefault="003729D3" w:rsidP="003729D3">
      <w:pPr>
        <w:pStyle w:val="Tekstprzypisudolnego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7"/>
      <w:gridCol w:w="5539"/>
    </w:tblGrid>
    <w:tr w:rsidR="003729D3" w14:paraId="4998D0E0" w14:textId="77777777" w:rsidTr="00687A97">
      <w:tc>
        <w:tcPr>
          <w:tcW w:w="4606" w:type="dxa"/>
          <w:vAlign w:val="center"/>
        </w:tcPr>
        <w:p w14:paraId="2F64FEA4" w14:textId="77777777" w:rsidR="003729D3" w:rsidRDefault="003729D3" w:rsidP="003729D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52FB4AFE" wp14:editId="0D78C55F">
                <wp:extent cx="1762125" cy="874070"/>
                <wp:effectExtent l="0" t="0" r="0" b="254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NCONE6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874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vAlign w:val="center"/>
        </w:tcPr>
        <w:p w14:paraId="508997FE" w14:textId="77777777" w:rsidR="003729D3" w:rsidRDefault="003729D3" w:rsidP="003729D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6D3891D8" wp14:editId="2E3FFE7C">
                <wp:extent cx="3380139" cy="686684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mpound logo with with ERDF print.tif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7528" cy="6902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9206E8" w14:textId="77777777" w:rsidR="003729D3" w:rsidRDefault="003729D3" w:rsidP="00372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0A4"/>
    <w:multiLevelType w:val="hybridMultilevel"/>
    <w:tmpl w:val="DED2C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26250"/>
    <w:multiLevelType w:val="hybridMultilevel"/>
    <w:tmpl w:val="1C3C7B0E"/>
    <w:lvl w:ilvl="0" w:tplc="2744A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233BCB"/>
    <w:multiLevelType w:val="hybridMultilevel"/>
    <w:tmpl w:val="43E29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466F9"/>
    <w:multiLevelType w:val="hybridMultilevel"/>
    <w:tmpl w:val="49C2F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401503F"/>
    <w:multiLevelType w:val="hybridMultilevel"/>
    <w:tmpl w:val="47202A8A"/>
    <w:lvl w:ilvl="0" w:tplc="2744A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C782B"/>
    <w:multiLevelType w:val="hybridMultilevel"/>
    <w:tmpl w:val="D7603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A275D"/>
    <w:multiLevelType w:val="hybridMultilevel"/>
    <w:tmpl w:val="BD2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9025C"/>
    <w:multiLevelType w:val="hybridMultilevel"/>
    <w:tmpl w:val="86ECB1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D63B10"/>
    <w:multiLevelType w:val="hybridMultilevel"/>
    <w:tmpl w:val="21CE44DC"/>
    <w:lvl w:ilvl="0" w:tplc="A77813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1A5CEB"/>
    <w:multiLevelType w:val="hybridMultilevel"/>
    <w:tmpl w:val="CC3ED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3338E"/>
    <w:multiLevelType w:val="multilevel"/>
    <w:tmpl w:val="02A0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9D3683"/>
    <w:multiLevelType w:val="hybridMultilevel"/>
    <w:tmpl w:val="E9867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D0758F"/>
    <w:multiLevelType w:val="hybridMultilevel"/>
    <w:tmpl w:val="81446D8E"/>
    <w:lvl w:ilvl="0" w:tplc="74382AFC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97234F"/>
    <w:multiLevelType w:val="hybridMultilevel"/>
    <w:tmpl w:val="8C6EDB9A"/>
    <w:lvl w:ilvl="0" w:tplc="A77813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12"/>
  </w:num>
  <w:num w:numId="5">
    <w:abstractNumId w:val="14"/>
  </w:num>
  <w:num w:numId="6">
    <w:abstractNumId w:val="1"/>
  </w:num>
  <w:num w:numId="7">
    <w:abstractNumId w:val="11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6"/>
  </w:num>
  <w:num w:numId="15">
    <w:abstractNumId w:val="3"/>
  </w:num>
  <w:num w:numId="16">
    <w:abstractNumId w:val="10"/>
  </w:num>
  <w:num w:numId="1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0MDA1NjUwMzM1MTRU0lEKTi0uzszPAykwqQUAPTh2kiwAAAA="/>
  </w:docVars>
  <w:rsids>
    <w:rsidRoot w:val="00050A1A"/>
    <w:rsid w:val="00016054"/>
    <w:rsid w:val="00026896"/>
    <w:rsid w:val="000438F6"/>
    <w:rsid w:val="00050A1A"/>
    <w:rsid w:val="00067A6E"/>
    <w:rsid w:val="00074CA1"/>
    <w:rsid w:val="00074DB3"/>
    <w:rsid w:val="00076783"/>
    <w:rsid w:val="0007774B"/>
    <w:rsid w:val="00091E5A"/>
    <w:rsid w:val="0009531C"/>
    <w:rsid w:val="000A1F14"/>
    <w:rsid w:val="000A3EF0"/>
    <w:rsid w:val="000D089A"/>
    <w:rsid w:val="000D3F20"/>
    <w:rsid w:val="000D6A21"/>
    <w:rsid w:val="000F0726"/>
    <w:rsid w:val="000F6414"/>
    <w:rsid w:val="00105314"/>
    <w:rsid w:val="0011454F"/>
    <w:rsid w:val="001214DB"/>
    <w:rsid w:val="001346D5"/>
    <w:rsid w:val="00153700"/>
    <w:rsid w:val="00157D3B"/>
    <w:rsid w:val="001707EF"/>
    <w:rsid w:val="00177D21"/>
    <w:rsid w:val="00200CFB"/>
    <w:rsid w:val="00217AFD"/>
    <w:rsid w:val="002309C9"/>
    <w:rsid w:val="00236F69"/>
    <w:rsid w:val="00245B28"/>
    <w:rsid w:val="00257625"/>
    <w:rsid w:val="00263CB3"/>
    <w:rsid w:val="002A0FDF"/>
    <w:rsid w:val="002B4D34"/>
    <w:rsid w:val="002C1816"/>
    <w:rsid w:val="002C1A9D"/>
    <w:rsid w:val="002C4C8D"/>
    <w:rsid w:val="002C53F8"/>
    <w:rsid w:val="002F4437"/>
    <w:rsid w:val="002F6648"/>
    <w:rsid w:val="00300757"/>
    <w:rsid w:val="003068DC"/>
    <w:rsid w:val="00310761"/>
    <w:rsid w:val="00311063"/>
    <w:rsid w:val="00313DC5"/>
    <w:rsid w:val="00320648"/>
    <w:rsid w:val="00331D17"/>
    <w:rsid w:val="00333266"/>
    <w:rsid w:val="0033552A"/>
    <w:rsid w:val="00361590"/>
    <w:rsid w:val="00362B89"/>
    <w:rsid w:val="00363B67"/>
    <w:rsid w:val="00367086"/>
    <w:rsid w:val="003713A0"/>
    <w:rsid w:val="00371C96"/>
    <w:rsid w:val="003729D3"/>
    <w:rsid w:val="0037422B"/>
    <w:rsid w:val="003B71AF"/>
    <w:rsid w:val="003D0B06"/>
    <w:rsid w:val="003D2D0B"/>
    <w:rsid w:val="003F0223"/>
    <w:rsid w:val="003F68F2"/>
    <w:rsid w:val="0040049E"/>
    <w:rsid w:val="004269B8"/>
    <w:rsid w:val="00426F20"/>
    <w:rsid w:val="004400D9"/>
    <w:rsid w:val="00466189"/>
    <w:rsid w:val="00473068"/>
    <w:rsid w:val="00474F78"/>
    <w:rsid w:val="00475EB8"/>
    <w:rsid w:val="00481A37"/>
    <w:rsid w:val="004C1A54"/>
    <w:rsid w:val="004C6CFD"/>
    <w:rsid w:val="004D6DC8"/>
    <w:rsid w:val="004E1BD9"/>
    <w:rsid w:val="0050194E"/>
    <w:rsid w:val="00505AFC"/>
    <w:rsid w:val="00521560"/>
    <w:rsid w:val="005215A4"/>
    <w:rsid w:val="00535627"/>
    <w:rsid w:val="00543BC2"/>
    <w:rsid w:val="00562E41"/>
    <w:rsid w:val="00567614"/>
    <w:rsid w:val="0057209F"/>
    <w:rsid w:val="0057241E"/>
    <w:rsid w:val="00580422"/>
    <w:rsid w:val="00581610"/>
    <w:rsid w:val="0059076E"/>
    <w:rsid w:val="00595580"/>
    <w:rsid w:val="005C3C6F"/>
    <w:rsid w:val="005D3DDB"/>
    <w:rsid w:val="005D68E4"/>
    <w:rsid w:val="005D7545"/>
    <w:rsid w:val="005E08EA"/>
    <w:rsid w:val="005F3E77"/>
    <w:rsid w:val="006055D6"/>
    <w:rsid w:val="0061517D"/>
    <w:rsid w:val="00633F37"/>
    <w:rsid w:val="0064487D"/>
    <w:rsid w:val="00650AF7"/>
    <w:rsid w:val="0066323F"/>
    <w:rsid w:val="00664218"/>
    <w:rsid w:val="00675223"/>
    <w:rsid w:val="006A15D8"/>
    <w:rsid w:val="006B2499"/>
    <w:rsid w:val="006D2ABE"/>
    <w:rsid w:val="006D4C68"/>
    <w:rsid w:val="006E7910"/>
    <w:rsid w:val="007018D0"/>
    <w:rsid w:val="00701DCC"/>
    <w:rsid w:val="00713997"/>
    <w:rsid w:val="007530B2"/>
    <w:rsid w:val="00770371"/>
    <w:rsid w:val="007804E0"/>
    <w:rsid w:val="00781BA1"/>
    <w:rsid w:val="007A23E2"/>
    <w:rsid w:val="007A304D"/>
    <w:rsid w:val="007B3D3F"/>
    <w:rsid w:val="007D4B5F"/>
    <w:rsid w:val="0080089E"/>
    <w:rsid w:val="00803DBE"/>
    <w:rsid w:val="00825D6A"/>
    <w:rsid w:val="00833B09"/>
    <w:rsid w:val="008450D0"/>
    <w:rsid w:val="008461BC"/>
    <w:rsid w:val="0085242C"/>
    <w:rsid w:val="008626E4"/>
    <w:rsid w:val="0086548C"/>
    <w:rsid w:val="0088231D"/>
    <w:rsid w:val="00894197"/>
    <w:rsid w:val="00895D59"/>
    <w:rsid w:val="00897B98"/>
    <w:rsid w:val="008D0C86"/>
    <w:rsid w:val="008F6A01"/>
    <w:rsid w:val="008F7B96"/>
    <w:rsid w:val="00916F39"/>
    <w:rsid w:val="00957423"/>
    <w:rsid w:val="009715FD"/>
    <w:rsid w:val="00984E16"/>
    <w:rsid w:val="00992871"/>
    <w:rsid w:val="009A7DE3"/>
    <w:rsid w:val="009B166D"/>
    <w:rsid w:val="009B7C21"/>
    <w:rsid w:val="009F6134"/>
    <w:rsid w:val="009F7C2F"/>
    <w:rsid w:val="00A01727"/>
    <w:rsid w:val="00A07775"/>
    <w:rsid w:val="00A15435"/>
    <w:rsid w:val="00A2698A"/>
    <w:rsid w:val="00A454DB"/>
    <w:rsid w:val="00A473A6"/>
    <w:rsid w:val="00A61CFF"/>
    <w:rsid w:val="00A93407"/>
    <w:rsid w:val="00A96C91"/>
    <w:rsid w:val="00AA15BC"/>
    <w:rsid w:val="00AA74D6"/>
    <w:rsid w:val="00AB25C7"/>
    <w:rsid w:val="00AD1135"/>
    <w:rsid w:val="00AD44EA"/>
    <w:rsid w:val="00AD5912"/>
    <w:rsid w:val="00AF038B"/>
    <w:rsid w:val="00B044EE"/>
    <w:rsid w:val="00B104A6"/>
    <w:rsid w:val="00B2271E"/>
    <w:rsid w:val="00B3119D"/>
    <w:rsid w:val="00B4500D"/>
    <w:rsid w:val="00B52568"/>
    <w:rsid w:val="00B577A1"/>
    <w:rsid w:val="00B6056D"/>
    <w:rsid w:val="00B755B0"/>
    <w:rsid w:val="00B82C39"/>
    <w:rsid w:val="00B82D69"/>
    <w:rsid w:val="00BA2717"/>
    <w:rsid w:val="00BD14A5"/>
    <w:rsid w:val="00BE238F"/>
    <w:rsid w:val="00BE7456"/>
    <w:rsid w:val="00C027BA"/>
    <w:rsid w:val="00C0693B"/>
    <w:rsid w:val="00C13B15"/>
    <w:rsid w:val="00C26ECA"/>
    <w:rsid w:val="00C43D8C"/>
    <w:rsid w:val="00C43EE9"/>
    <w:rsid w:val="00C463F5"/>
    <w:rsid w:val="00C55A5C"/>
    <w:rsid w:val="00C718F3"/>
    <w:rsid w:val="00C74234"/>
    <w:rsid w:val="00C84C20"/>
    <w:rsid w:val="00CA1860"/>
    <w:rsid w:val="00CB345A"/>
    <w:rsid w:val="00CC187D"/>
    <w:rsid w:val="00CD4AA4"/>
    <w:rsid w:val="00CE491B"/>
    <w:rsid w:val="00CF153D"/>
    <w:rsid w:val="00CF29DD"/>
    <w:rsid w:val="00D013B6"/>
    <w:rsid w:val="00D510E1"/>
    <w:rsid w:val="00D60633"/>
    <w:rsid w:val="00D64C93"/>
    <w:rsid w:val="00DD1CC3"/>
    <w:rsid w:val="00DD2442"/>
    <w:rsid w:val="00DE3904"/>
    <w:rsid w:val="00DE601E"/>
    <w:rsid w:val="00E035D4"/>
    <w:rsid w:val="00E24398"/>
    <w:rsid w:val="00E47581"/>
    <w:rsid w:val="00E65536"/>
    <w:rsid w:val="00E66568"/>
    <w:rsid w:val="00E73F8A"/>
    <w:rsid w:val="00E7505D"/>
    <w:rsid w:val="00E76B34"/>
    <w:rsid w:val="00E8167C"/>
    <w:rsid w:val="00E837BC"/>
    <w:rsid w:val="00E92952"/>
    <w:rsid w:val="00E942E5"/>
    <w:rsid w:val="00EA6FE1"/>
    <w:rsid w:val="00EB0F75"/>
    <w:rsid w:val="00EB2AA0"/>
    <w:rsid w:val="00EB319B"/>
    <w:rsid w:val="00EF484B"/>
    <w:rsid w:val="00EF79C5"/>
    <w:rsid w:val="00F33737"/>
    <w:rsid w:val="00F42DCE"/>
    <w:rsid w:val="00F72C38"/>
    <w:rsid w:val="00F805A8"/>
    <w:rsid w:val="00F84771"/>
    <w:rsid w:val="00FA35DD"/>
    <w:rsid w:val="00FA705B"/>
    <w:rsid w:val="00FB0135"/>
    <w:rsid w:val="00FB03FF"/>
    <w:rsid w:val="00FB0F35"/>
    <w:rsid w:val="00FD369F"/>
    <w:rsid w:val="00FE6B17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3EB14"/>
  <w15:docId w15:val="{8EDB9E7D-01EE-4A5A-97F0-C15AE198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D8C"/>
    <w:pPr>
      <w:spacing w:after="120" w:line="276" w:lineRule="auto"/>
      <w:jc w:val="both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84B"/>
    <w:pPr>
      <w:keepNext/>
      <w:keepLines/>
      <w:numPr>
        <w:numId w:val="1"/>
      </w:numPr>
      <w:spacing w:before="240" w:after="240"/>
      <w:ind w:left="714" w:hanging="357"/>
      <w:outlineLvl w:val="0"/>
    </w:pPr>
    <w:rPr>
      <w:rFonts w:eastAsiaTheme="majorEastAsia" w:cs="Times New Roman"/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6A01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107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07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07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07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07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0761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761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59"/>
    <w:rsid w:val="00D64C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64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C93"/>
  </w:style>
  <w:style w:type="character" w:styleId="Numerstrony">
    <w:name w:val="page number"/>
    <w:basedOn w:val="Domylnaczcionkaakapitu"/>
    <w:uiPriority w:val="99"/>
    <w:semiHidden/>
    <w:unhideWhenUsed/>
    <w:rsid w:val="00D64C93"/>
  </w:style>
  <w:style w:type="paragraph" w:styleId="Nagwek">
    <w:name w:val="header"/>
    <w:basedOn w:val="Normalny"/>
    <w:link w:val="NagwekZnak"/>
    <w:uiPriority w:val="99"/>
    <w:unhideWhenUsed/>
    <w:rsid w:val="00BE74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745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1C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1CC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1CC3"/>
    <w:rPr>
      <w:vertAlign w:val="superscript"/>
    </w:rPr>
  </w:style>
  <w:style w:type="paragraph" w:styleId="Tekstprzypisudolnego">
    <w:name w:val="footnote text"/>
    <w:aliases w:val="Podrozdział,Footnote,Podrozdzia3, Znak"/>
    <w:basedOn w:val="Normalny"/>
    <w:link w:val="TekstprzypisudolnegoZnak"/>
    <w:unhideWhenUsed/>
    <w:rsid w:val="003729D3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 Znak Znak"/>
    <w:basedOn w:val="Domylnaczcionkaakapitu"/>
    <w:link w:val="Tekstprzypisudolnego"/>
    <w:rsid w:val="003729D3"/>
    <w:rPr>
      <w:sz w:val="20"/>
      <w:szCs w:val="20"/>
    </w:rPr>
  </w:style>
  <w:style w:type="character" w:styleId="Odwoanieprzypisudolnego">
    <w:name w:val="footnote reference"/>
    <w:aliases w:val="stylish,Footnote Reference Superscript,BVI fnr,Footnote symbol,Footnote symboFußnotenzeichen,Footnote sign,Footnote Reference Number,E FNZ,-E Fußnotenzeichen,Footnote#,Times 10 Point,Exposant 3 Point,Ref,de nota al pi"/>
    <w:basedOn w:val="Domylnaczcionkaakapitu"/>
    <w:uiPriority w:val="99"/>
    <w:unhideWhenUsed/>
    <w:rsid w:val="003729D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F484B"/>
    <w:rPr>
      <w:rFonts w:ascii="Times New Roman" w:eastAsiaTheme="majorEastAsia" w:hAnsi="Times New Roman" w:cs="Times New Roman"/>
      <w:b/>
      <w:bCs/>
      <w:smallCaps/>
      <w:sz w:val="32"/>
      <w:szCs w:val="28"/>
    </w:rPr>
  </w:style>
  <w:style w:type="character" w:styleId="Hipercze">
    <w:name w:val="Hyperlink"/>
    <w:basedOn w:val="Domylnaczcionkaakapitu"/>
    <w:uiPriority w:val="99"/>
    <w:unhideWhenUsed/>
    <w:rsid w:val="009F7C2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E92952"/>
    <w:rPr>
      <w:rFonts w:ascii="Times New Roman" w:hAnsi="Times New Roman"/>
    </w:rPr>
  </w:style>
  <w:style w:type="paragraph" w:styleId="NormalnyWeb">
    <w:name w:val="Normal (Web)"/>
    <w:basedOn w:val="Normalny"/>
    <w:uiPriority w:val="99"/>
    <w:semiHidden/>
    <w:unhideWhenUsed/>
    <w:rsid w:val="00026896"/>
    <w:pPr>
      <w:spacing w:before="100" w:beforeAutospacing="1" w:after="100" w:afterAutospacing="1" w:line="240" w:lineRule="auto"/>
      <w:jc w:val="left"/>
    </w:pPr>
    <w:rPr>
      <w:rFonts w:ascii="Calibri" w:hAnsi="Calibri" w:cs="Calibr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tif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8576E8AB-6C1A-4873-8A9F-50A3E373B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1108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INCONE60</vt:lpstr>
    </vt:vector>
  </TitlesOfParts>
  <Company/>
  <LinksUpToDate>false</LinksUpToDate>
  <CharactersWithSpaces>7746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INCONE60</dc:title>
  <dc:creator>Radał Koba - IM</dc:creator>
  <cp:keywords>INCONE60</cp:keywords>
  <cp:lastModifiedBy>Rafał Koba</cp:lastModifiedBy>
  <cp:revision>5</cp:revision>
  <cp:lastPrinted>2020-06-29T10:45:00Z</cp:lastPrinted>
  <dcterms:created xsi:type="dcterms:W3CDTF">2022-03-08T08:48:00Z</dcterms:created>
  <dcterms:modified xsi:type="dcterms:W3CDTF">2022-03-08T11:13:00Z</dcterms:modified>
</cp:coreProperties>
</file>