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E43" w:rsidRPr="00053E43" w:rsidRDefault="00053E43" w:rsidP="00AF3602">
      <w:pPr>
        <w:jc w:val="center"/>
        <w:rPr>
          <w:rFonts w:ascii="Garamond" w:hAnsi="Garamond" w:cstheme="minorHAnsi"/>
          <w:b/>
          <w:sz w:val="18"/>
          <w:szCs w:val="18"/>
        </w:rPr>
      </w:pP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ab/>
      </w:r>
      <w:r>
        <w:rPr>
          <w:rFonts w:ascii="Garamond" w:hAnsi="Garamond" w:cstheme="minorHAnsi"/>
          <w:b/>
          <w:sz w:val="18"/>
          <w:szCs w:val="18"/>
        </w:rPr>
        <w:tab/>
      </w:r>
      <w:r>
        <w:rPr>
          <w:rFonts w:ascii="Garamond" w:hAnsi="Garamond" w:cstheme="minorHAnsi"/>
          <w:b/>
          <w:sz w:val="18"/>
          <w:szCs w:val="18"/>
        </w:rPr>
        <w:tab/>
      </w:r>
      <w:r>
        <w:rPr>
          <w:rFonts w:ascii="Garamond" w:hAnsi="Garamond" w:cstheme="minorHAnsi"/>
          <w:b/>
          <w:sz w:val="18"/>
          <w:szCs w:val="18"/>
        </w:rPr>
        <w:tab/>
      </w:r>
      <w:r w:rsidRPr="00053E43">
        <w:rPr>
          <w:rFonts w:ascii="Garamond" w:hAnsi="Garamond" w:cstheme="minorHAnsi"/>
          <w:b/>
          <w:sz w:val="18"/>
          <w:szCs w:val="18"/>
        </w:rPr>
        <w:t>Załącznik nr 5 do SWZ</w:t>
      </w:r>
    </w:p>
    <w:p w:rsidR="00AF3602" w:rsidRPr="00FC3DD7" w:rsidRDefault="00AF3602" w:rsidP="00FC3DD7">
      <w:pPr>
        <w:spacing w:after="0"/>
        <w:jc w:val="center"/>
        <w:rPr>
          <w:rFonts w:ascii="Garamond" w:hAnsi="Garamond" w:cstheme="minorHAnsi"/>
          <w:b/>
          <w:color w:val="0070C0"/>
          <w:sz w:val="20"/>
          <w:szCs w:val="20"/>
        </w:rPr>
      </w:pPr>
      <w:r w:rsidRPr="00FC3DD7">
        <w:rPr>
          <w:rFonts w:ascii="Garamond" w:hAnsi="Garamond" w:cstheme="minorHAnsi"/>
          <w:b/>
          <w:color w:val="0070C0"/>
          <w:sz w:val="20"/>
          <w:szCs w:val="20"/>
        </w:rPr>
        <w:t>OPIS PRZEDMIOTU ZAMÓWIENIA</w:t>
      </w:r>
    </w:p>
    <w:p w:rsidR="00AF3602" w:rsidRDefault="00AF3602" w:rsidP="00FC3DD7">
      <w:pPr>
        <w:spacing w:after="0"/>
        <w:jc w:val="center"/>
        <w:rPr>
          <w:rFonts w:ascii="Garamond" w:hAnsi="Garamond" w:cstheme="minorHAnsi"/>
          <w:b/>
          <w:sz w:val="20"/>
          <w:szCs w:val="20"/>
        </w:rPr>
      </w:pPr>
      <w:r w:rsidRPr="00FC3DD7">
        <w:rPr>
          <w:rFonts w:ascii="Garamond" w:hAnsi="Garamond" w:cstheme="minorHAnsi"/>
          <w:b/>
          <w:color w:val="0070C0"/>
          <w:sz w:val="20"/>
          <w:szCs w:val="20"/>
        </w:rPr>
        <w:t>PARAMETRY TECHNICZNE</w:t>
      </w:r>
    </w:p>
    <w:p w:rsidR="00FC3DD7" w:rsidRPr="00FC3DD7" w:rsidRDefault="00FC3DD7" w:rsidP="00FC3DD7">
      <w:pPr>
        <w:spacing w:after="0"/>
        <w:jc w:val="center"/>
        <w:rPr>
          <w:rFonts w:ascii="Garamond" w:hAnsi="Garamond" w:cstheme="minorHAnsi"/>
          <w:b/>
          <w:sz w:val="20"/>
          <w:szCs w:val="20"/>
        </w:rPr>
      </w:pPr>
    </w:p>
    <w:tbl>
      <w:tblPr>
        <w:tblW w:w="5004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37"/>
        <w:gridCol w:w="7679"/>
        <w:gridCol w:w="919"/>
      </w:tblGrid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Specyfikacja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Ilość (szt.)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Serwer typ I: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Serwer typ II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System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10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Licencje dostępowe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550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System do wirtualizacji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Oprogramowanie do backup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UPS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3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Urządzenie do monitorowania parametrów środowiskowych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  <w:tr w:rsidR="00AF3602" w:rsidRPr="00053E43" w:rsidTr="00744463">
        <w:trPr>
          <w:jc w:val="center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pStyle w:val="Akapitzlist"/>
              <w:numPr>
                <w:ilvl w:val="0"/>
                <w:numId w:val="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7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Calibri" w:hAnsi="Garamond" w:cstheme="minorHAnsi"/>
                <w:b/>
                <w:kern w:val="0"/>
                <w:sz w:val="18"/>
                <w:szCs w:val="18"/>
                <w:lang w:eastAsia="en-US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Macierz do przechowywania kopii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</w:t>
            </w: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Serwer typ I– 2 szt. Oferowany model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47"/>
        <w:gridCol w:w="1402"/>
        <w:gridCol w:w="4043"/>
        <w:gridCol w:w="3136"/>
      </w:tblGrid>
      <w:tr w:rsidR="00AF3602" w:rsidRPr="00053E43" w:rsidTr="00FC3DD7">
        <w:trPr>
          <w:jc w:val="center"/>
        </w:trPr>
        <w:tc>
          <w:tcPr>
            <w:tcW w:w="547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402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4043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3136" w:type="dxa"/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Obudowa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Maksymalnie 2U RACK 19 cali (wraz ze wszystkimi elementami niezbędnymi do zamontowania serwera, z funkcjonalnością wysuwania serwera do celów serwisowych)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Procesor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Dwa procesory szesnastordzeniowe, osiągające (z zaoferowanym serwerem) w testach SPECint_rate2006 wynik nie gorszy niż 630 punktów lub alternatywnie 165 punktów w teście SPECrate2017_int_base. Wynik testu musi być publikowany na stronie </w:t>
            </w:r>
            <w:hyperlink r:id="rId5" w:history="1">
              <w:r w:rsidRPr="00053E43">
                <w:rPr>
                  <w:rStyle w:val="Hipercze"/>
                  <w:rFonts w:ascii="Garamond" w:eastAsia="Times New Roman" w:hAnsi="Garamond" w:cstheme="minorHAnsi"/>
                  <w:sz w:val="18"/>
                  <w:szCs w:val="18"/>
                </w:rPr>
                <w:t>www.spec.org</w:t>
              </w:r>
            </w:hyperlink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563C1"/>
                <w:sz w:val="18"/>
                <w:szCs w:val="18"/>
                <w:u w:val="single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Liczba procesorów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 (dwa)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Pamięć operacyjna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256 GB RDIMM DDR4 o częstotliwości pracy 2666MT/s, z możliwością rozbudowy do minimum 768 GB.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Na płycie głównej musi znajdować się minimum 12 niezajętych slotów przeznaczonych na pamięć RAM.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Zabezpieczenia pamięci: ECC, SDDC,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Mirrored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Channel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Mode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Lockstep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lub technologie równoważne.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Sloty rozszerzeń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2 sloty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PCI-Express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Generacji 3, w tym minimum jeden slot x16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) pełnej wysokości oraz minimum jeden slot x8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Wewnętrzna pamięć masowa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instalacji dysków twardych typu: SATA, SAS, SSD, dostępnych w ofercie producenta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Zainstalowany dedykowany sprzętowy kontroler RAID umożliwiający konfigurację poziomów RAID co najmniej 0, 1,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10, JBOD. Wsparcie dla dysków SAS 12Gb/s pozwalające na wykorzystanie ich pełnej przepustowości.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Zainstalowane minimum dwa dyski o pojemności minimum 300 GB każdy.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Interfejsy sieciowe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dwa interfejsy sieciowe 1Gb Ethernet RJ45 w standardzie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BaseT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oraz minimum dwa interfejsy 10Gb w standardzie SFP+ (z wkładkami SFP+ SR). Wymagane powyżej interfejsy 1Gb oraz 10Gb nie mogą zajmować jakichkolwiek slotów PCI-E oraz nie mogą być realizowane poprzez dodatkowy adapter lub przejściówkę na USB.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dwa interfejsy 16Gb FC wyposażone we wkładki optyczne SFP+ typu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Multimode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. Dopuszcza się montaż karty FC w wymaganym slocie PCI-E. 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Interfejs komunikacyjny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FC 8Gb/10Gb dostosowana do łącza komunikacyjnego macierzy dyskowej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Karta graficzna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Zintegrowana karta graficzna z pamięcią własną minimum 16MB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Porty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3 x USB 3.0 1x DP. Wewnętrzny slot na kartę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microSD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/SD.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Zasilacz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 szt. 750W, typ Hot-plug, redundantne, typu Platinum.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Chłodzenie 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Zestaw wentylatorów redundantnych typu hot-plug. Możliwość skonfigurowania serwera do pracy w temperaturze otoczenia do 45st.C.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Zarządzanie i obsługa techniczna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przejęcia zdalnej konsoli graficznej i podłączania wirtualnych napędów CD/DVD/ISO i FDD.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Karta zdalnego zarządzania musi posiadać wbudowaną pamięć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flash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minimum 4GB, w tym minimum 1GB dostępny dla użytkownika serwera. Karta zarządzania zdalnego, powinna udostępniać wbudowane narzędzie wspomagające instalację systemów operacyjnych oraz konfigurację serwera. Narzędzie dostępne z poziomu BIOS poprzez interfejs graficzny (GUI), udostępniające minimum następujące funkcjonalności: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Wspomaganą instalację systemu operacyjnego – wybór najlepszych sterowników i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firmware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Diagnostykę wszystkich elementów sprzętowych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Konfigurację kontrolera macierzowego i dysków poprzez GUI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Ustawienia parametrów BIOS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Rozwiązanie sprzętowe, niezależne od systemów operacyjnych, zintegrowane z płytą główną. Wymagana odpowiednia licencja.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Wsparcie dla Systemów Operacyjnych i Systemów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Wirtualizacyjnych</w:t>
            </w:r>
            <w:proofErr w:type="spellEnd"/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Microsoft Windows Server min. w wersji 2012;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Canonical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Ubuntu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; Red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Hat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Linux (RHEL); SUSE Linux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Server (SLES);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Vmware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Citrix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XenServer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; Oracle Linux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Gwarancja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 w:themeColor="text1"/>
                <w:sz w:val="18"/>
                <w:szCs w:val="18"/>
              </w:rPr>
              <w:t xml:space="preserve">Minimum 36 miesięcy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gwarancji producenta w miejscu instalacji,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>Wymagana jest gwarancja świadczona w trybie 24 godziny przez 7 dni w tygodniu na wszystkie elementy serwera z czasem naprawy w następnym dniu roboczym od dnia zgłoszenia.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Możliwość zgłaszania awarii poprzez linię telefoniczną producenta lub firmy serwisującej.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Dostarczone urządzenie musi być fabrycznie nowe, nie używane w żadnych projektach, </w:t>
            </w:r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 xml:space="preserve">nie może być </w:t>
            </w:r>
            <w:proofErr w:type="spellStart"/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>rekondycjonowane</w:t>
            </w:r>
            <w:proofErr w:type="spellEnd"/>
            <w:r w:rsidRPr="00053E43">
              <w:rPr>
                <w:rFonts w:ascii="Garamond" w:hAnsi="Garamond" w:cstheme="minorHAnsi"/>
                <w:color w:val="000000" w:themeColor="text1"/>
                <w:sz w:val="18"/>
                <w:szCs w:val="18"/>
              </w:rPr>
              <w:t xml:space="preserve">, powystawowe,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>wyprodukowane wcześniej niż w IV kwartale 2021 r.,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nieużywane przed dniem dostarczenia z wyłączeniem używania niezbędnego dla przeprowadzenia testu ich poprawnej pracy,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musi pochodzić z autoryzowanego kanału sprzedaży producenta i być przeznaczone na rynek Unii Europejskiej (znak CE).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a korzystanie przez Zamawiającego z dostarczonego produktu nie może stanowić naruszenia majątkowych praw autorskich osób trzecich. </w:t>
            </w:r>
            <w:r w:rsidRPr="00053E43">
              <w:rPr>
                <w:rFonts w:ascii="Garamond" w:eastAsia="Times New Roman" w:hAnsi="Garamond" w:cstheme="minorHAnsi"/>
                <w:color w:val="000000" w:themeColor="text1"/>
                <w:sz w:val="18"/>
                <w:szCs w:val="18"/>
              </w:rPr>
              <w:t>Gwarancja realizowana przez producenta lub jego autoryzowanego partnera serwisu gwarancyjnego.</w:t>
            </w:r>
          </w:p>
        </w:tc>
        <w:tc>
          <w:tcPr>
            <w:tcW w:w="3136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Serwer typ II– 1 szt. Oferowany model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47"/>
        <w:gridCol w:w="1402"/>
        <w:gridCol w:w="5578"/>
        <w:gridCol w:w="1601"/>
      </w:tblGrid>
      <w:tr w:rsidR="00AF3602" w:rsidRPr="00053E43" w:rsidTr="00FC3DD7">
        <w:trPr>
          <w:jc w:val="center"/>
        </w:trPr>
        <w:tc>
          <w:tcPr>
            <w:tcW w:w="547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lastRenderedPageBreak/>
              <w:t>Lp.</w:t>
            </w:r>
          </w:p>
        </w:tc>
        <w:tc>
          <w:tcPr>
            <w:tcW w:w="1402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5578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1601" w:type="dxa"/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Obudowa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Maksymalnie 2U RACK 19 cali (wraz ze wszystkimi elementami niezbędnymi do zamontowania serwera, z funkcjonalnością wysuwania serwera do celów serwisowych)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Procesor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Jeden procesor ośmiordzeniowy, osiągający (z zaoferowanym serwerem) w testach SPECrate2017_int_base wynik nie gorszy niż 120 punktów dla układów dwuprocesorowych. Wynik testu musi być publikowany na stronie </w:t>
            </w:r>
            <w:hyperlink r:id="rId6" w:history="1">
              <w:r w:rsidRPr="00053E43">
                <w:rPr>
                  <w:rStyle w:val="Hipercze"/>
                  <w:rFonts w:ascii="Garamond" w:eastAsia="Times New Roman" w:hAnsi="Garamond" w:cstheme="minorHAnsi"/>
                  <w:sz w:val="18"/>
                  <w:szCs w:val="18"/>
                </w:rPr>
                <w:t>www.spec.org</w:t>
              </w:r>
            </w:hyperlink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Liczba procesorów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1 (jeden)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Pamięć operacyjna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64 GB RDIMM DDR4 o częstotliwości pracy 2666MT/s, z możliwością rozbudowy do minimum 768 GB.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Na płycie głównej musi znajdować się minimum 9 niezajętych slotów przeznaczonych na pamięć RAM.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Zabezpieczenia pamięci: ECC, SDDC,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Mirrored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Channel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Mode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Lockstep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lub technologie równoważne.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Sloty rozszerzeń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2 sloty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PCI-Express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Generacji 3, w tym minimum jeden slot x16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) pełnej wysokości oraz minimum jeden slot x8 (prędkość slotu – bus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width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Wewnętrzna pamięć masowa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instalacji dysków twardych typu: SATA, SAS, SSD, dostępnych w ofercie producenta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Zainstalowany dedykowany sprzętowy kontroler RAID umożliwiający konfigurację poziomów RAID co najmniej 0, 1, 10, JBOD. Wsparcie dla dysków SAS 12Gb/s pozwalające na wykorzystanie ich pełnej przepustowości.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Zainstalowane minimum osiem dysków o pojemności minimum 2,4 TB 10k każdy.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Interfejsy sieciowe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Minimum dwa interfejsy sieciowe 1Gb Ethernet RJ45 w standardzie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BaseT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oraz minimum dwa interfejsy 10Gb w standardzie SFP+ (z wkładkami SFP+ SR). Wymagane powyżej interfejsy 1Gb oraz 10Gb nie mogą zajmować jakichkolwiek slotów PCI-E oraz nie mogą być realizowane poprzez dodatkowy adapter lub przejściówkę na USB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Karta graficzna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Zintegrowana karta graficzna z pamięcią własną minimum 16MB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Porty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3 x USB 3.0 1x DP. Wewnętrzny slot na kartę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microSD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/SD.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Zasilacz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2 szt. 750W, typ Hot-plug, redundantne, typu Platinum.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Chłodzenie 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Zestaw wentylatorów redundantnych typu hot-plug. Możliwość skonfigurowania serwera do pracy w temperaturze otoczenia do 45st.C.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Zarządzanie i obsługa techniczna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Serwer musi być wyposażony w kartę zdalnego zarządzania (konsoli) pozwalającej na: włączenie, wyłączenie i restart serwera, podgląd logów sprzętowych serwera i karty, przejęcie pełnej konsoli tekstowej serwera niezależnie od jego stanu (także podczas startu, restartu OS).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Możliwość przejęcia zdalnej konsoli graficznej i podłączania wirtualnych napędów CD/DVD/ISO i FDD.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Karta zdalnego zarządzania musi posiadać wbudowaną pamięć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flash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, minimum 4GB, w tym minimum 1GB dostępny dla użytkownika serwera. Karta zarządzania zdalnego, powinna udostępniać wbudowane narzędzie wspomagające instalację systemów operacyjnych oraz konfigurację serwera. Narzędzie dostępne z poziomu BIOS poprzez interfejs graficzny (GUI), udostępniające minimum następujące funkcjonalności: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Wspomaganą instalację systemu operacyjnego – wybór najlepszych sterowników i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firmware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Diagnostykę wszystkich elementów sprzętowych serwera.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Konfigurację kontrolera macierzowego i dysków poprzez GUI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sym w:font="Symbol" w:char="F0B7"/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Ustawienia parametrów BIOS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Rozwiązanie sprzętowe, niezależne od systemów operacyjnych, zintegrowane z płytą główną. Wymagana odpowiednia licencja.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Wsparcie dla Systemów Operacyjnych i Systemów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Wirtualizacyjnych</w:t>
            </w:r>
            <w:proofErr w:type="spellEnd"/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Microsoft Windows Server min. w wersji 2012R2;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Canonical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Ubuntu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; Red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Hat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Linux (RHEL); SUSE Linux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Enterprise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Server (SLES);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Vmware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; Oracle Linux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47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02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Gwarancja</w:t>
            </w:r>
          </w:p>
        </w:tc>
        <w:tc>
          <w:tcPr>
            <w:tcW w:w="557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  <w:t xml:space="preserve">Minimum 36 miesięcy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gwarancji producenta w miejscu instalacji, 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Możliwość zgłaszania awarii poprzez linię telefoniczną producenta lub firmy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lastRenderedPageBreak/>
              <w:t>serwisującej.</w:t>
            </w:r>
          </w:p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Dostarczone urządzenie musi być fabrycznie nowe, nie używane w żadnych projektach, </w:t>
            </w:r>
            <w:r w:rsidRPr="00053E43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nie może być </w:t>
            </w:r>
            <w:proofErr w:type="spellStart"/>
            <w:r w:rsidRPr="00053E43">
              <w:rPr>
                <w:rFonts w:ascii="Garamond" w:hAnsi="Garamond" w:cstheme="minorHAnsi"/>
                <w:color w:val="000000"/>
                <w:sz w:val="18"/>
                <w:szCs w:val="18"/>
              </w:rPr>
              <w:t>rekondycjonowane</w:t>
            </w:r>
            <w:proofErr w:type="spellEnd"/>
            <w:r w:rsidRPr="00053E43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, powystawowe,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>wyprodukowane wcześniej niż w IV kwartale 202</w:t>
            </w:r>
            <w:r w:rsidR="00B6232C" w:rsidRPr="00053E43">
              <w:rPr>
                <w:rFonts w:ascii="Garamond" w:hAnsi="Garamond" w:cstheme="minorHAnsi"/>
                <w:sz w:val="18"/>
                <w:szCs w:val="18"/>
              </w:rPr>
              <w:t>1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r.,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nieużywane przed dniem dostarczenia z wyłączeniem używania niezbędnego dla przeprowadzenia testu ich poprawnej pracy,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musi pochodzić z autoryzowanego kanału sprzedaży producenta i być przeznaczone na rynek Unii Europejskiej (znak CE). 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a korzystanie przez Zamawiającego z dostarczonego produktu nie może stanowić naruszenia majątkowych praw autorskich osób trzecich. </w:t>
            </w: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  <w:t>Gwarancja realizowana przez producenta lub jego autoryzowanego partnera serwisu gwarancyjnego.</w:t>
            </w:r>
          </w:p>
        </w:tc>
        <w:tc>
          <w:tcPr>
            <w:tcW w:w="1601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System – 10 szt. Oferowane licencje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37"/>
        <w:gridCol w:w="1086"/>
        <w:gridCol w:w="4170"/>
        <w:gridCol w:w="3135"/>
      </w:tblGrid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System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Windows Serwer Standard 2019 lub równoważny</w:t>
            </w:r>
            <w:r w:rsidR="00BA3820"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(załącznik)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Warunki Licencji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BA382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Określenie licencji bezterminowa i bez ograniczeń Zamawiający ma na myśli dostarczenie licencji, które nie będą ograniczone czasowo i nie wygasną po zakończeniu trwania umowy.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3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Zamawiający nie wymaga kodu źródłowego oprogramowania.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Licencje dostępowe – 550 szt. Oferowane licencje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(podać typ i nazwę producenta):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737"/>
        <w:gridCol w:w="1086"/>
        <w:gridCol w:w="4170"/>
        <w:gridCol w:w="3135"/>
      </w:tblGrid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Licencje dostępowe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BA3820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Zamawiający wymaga 550 szt. licencji dostępowych zgodnych z proponowanym systemem (rodzaj licencji obejmujący logowanie przez komputer)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5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Warunki Licencji</w:t>
            </w: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BA382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Określenie licencji bezterminowa i bez ograniczeń Zamawiający ma na myśli dostarczenie licencji, które nie będą ograniczone czasowo i nie wygasną po zakończeniu trwania umowy.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25"/>
              </w:numPr>
              <w:suppressAutoHyphens w:val="0"/>
              <w:spacing w:after="0" w:line="240" w:lineRule="auto"/>
              <w:ind w:left="785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2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Zamawiający nie wymaga kodu źródłowego oprogramowania.</w:t>
            </w:r>
          </w:p>
        </w:tc>
        <w:tc>
          <w:tcPr>
            <w:tcW w:w="1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suppressAutoHyphens w:val="0"/>
        <w:spacing w:after="0" w:line="240" w:lineRule="auto"/>
        <w:rPr>
          <w:rFonts w:ascii="Garamond" w:eastAsia="Times New Roman" w:hAnsi="Garamond" w:cstheme="minorHAnsi"/>
          <w:kern w:val="0"/>
          <w:sz w:val="18"/>
          <w:szCs w:val="18"/>
          <w:lang w:eastAsia="pl-PL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>System do wirtualizacji</w:t>
      </w:r>
      <w:r w:rsidRPr="00053E43">
        <w:rPr>
          <w:rFonts w:ascii="Garamond" w:hAnsi="Garamond" w:cstheme="minorHAnsi"/>
          <w:sz w:val="18"/>
          <w:szCs w:val="18"/>
        </w:rPr>
        <w:t xml:space="preserve"> – 1 szt. Oferowany model</w:t>
      </w:r>
      <w:r w:rsidRPr="00053E43">
        <w:rPr>
          <w:rFonts w:ascii="Garamond" w:hAnsi="Garamond" w:cstheme="minorHAnsi"/>
          <w:bCs/>
          <w:sz w:val="18"/>
          <w:szCs w:val="18"/>
        </w:rPr>
        <w:t xml:space="preserve"> (podać typ i nazwę producenta):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58"/>
        <w:gridCol w:w="5218"/>
        <w:gridCol w:w="2952"/>
      </w:tblGrid>
      <w:tr w:rsidR="00AF3602" w:rsidRPr="00053E43" w:rsidTr="00FC3DD7">
        <w:trPr>
          <w:jc w:val="center"/>
        </w:trPr>
        <w:tc>
          <w:tcPr>
            <w:tcW w:w="958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218" w:type="dxa"/>
            <w:shd w:val="clear" w:color="auto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parametry techniczne</w:t>
            </w:r>
          </w:p>
        </w:tc>
        <w:tc>
          <w:tcPr>
            <w:tcW w:w="2952" w:type="dxa"/>
            <w:shd w:val="clear" w:color="auto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000000" w:fill="FFF2CC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5218" w:type="dxa"/>
            <w:shd w:val="clear" w:color="000000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Warstwa wirtualizacji jest zainstalowana bezpośrednio na sprzęcie fizycznym bez dodatkowych pośredniczących systemów operacyjnych.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Licencje obejmuje trzy dwuprocesorowe serwery.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Oprogramowanie do wirtualizacji zainstalowane na serwerze fizycznym potrafi obsłużyć i wykorzystać procesory fizyczne wyposażone łącznie w 32 rdzenie oraz 3GB pamięci fizycznej RAM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zapewnia możliwość obsługi wielu instancji systemów operacyjnych na jednym serwerze fizycznym i charakteryzuje się maksymalnym możliwym stopniem konsolidacji sprzętowej.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Oprogramowanie do wirtualizacji zapewnia możliwość skonfigurowania maszyn wirtualnych 1-8 procesorowych.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Oprogramowanie do wirtualizacji zapewnia możliwość skonfigurowania maszyn wirtualnych z możliwością przydzielenia do 1 TB pamięci operacyjnej RAM.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Oprogramowanie do wirtualizacji zapewnia możliwość skonfigurowania maszyn wirtualnych, z których każda może mieć 1-10 wirtualnych kart sieciowych. 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umożliwia łatwą i szybką rozbudowę infrastruktury o nowe usługi bez spadku wydajności i dostępności pozostałych wybranych usług.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w możliwie największym stopniu jest niezależne od producenta platformy sprzętowej.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Polityka licencjonowania umożliwia przenoszenie licencji na oprogramowanie do wirtualizacji pomiędzy serwerami różnych producentów z zachowaniem wsparcia technicznego i zmianą wersji oprogramowania na niższą (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downgrade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). Licencjonowanie nie odbywa się w trybie OEM.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Rozwiązanie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wspiera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następujące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systemy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operacyjne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val="en-US" w:eastAsia="pl-PL"/>
              </w:rPr>
              <w:t>: Windows Server 2008, Windows Server 2012, Windows 7, Windows 8, SLES 11, SLES 10, RHEL 5, RHEL 4, Debian, CentOS, FreeBSD.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umożliwia przydzielenie większej ilości pamięci RAM dla maszyn wirtualnych niż fizyczne zasoby RAM serwera w celu osiągnięcia maksymalnego współczynnika konsolidacji (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memory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overcommitment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Rozwiązanie umożliwia udostępnienie maszynie wirtualnej większej ilości zasobów dyskowych niż jest fizycznie zarezerwowane na dyskach lokalnych serwera lub na macierzy (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thin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provisioning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).</w:t>
            </w:r>
          </w:p>
        </w:tc>
        <w:tc>
          <w:tcPr>
            <w:tcW w:w="2952" w:type="dxa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pStyle w:val="Bezodstpw"/>
              <w:spacing w:line="256" w:lineRule="auto"/>
              <w:rPr>
                <w:rFonts w:ascii="Garamond" w:eastAsia="Lucida Sans Unicode" w:hAnsi="Garamond" w:cstheme="minorHAnsi"/>
                <w:kern w:val="1"/>
                <w:sz w:val="18"/>
                <w:szCs w:val="18"/>
                <w:lang w:eastAsia="ar-SA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Rozwiązanie posiada centralną konsolę graficzną do zarządzania maszynami wirtualnymi i do konfigurowania innych funkcjonalności. Centralna konsola graficzna ma możliwość działania jako gotowa, wstępnie skonfigurowana maszyna wirtualna tzw.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virtual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appliance</w:t>
            </w:r>
            <w:proofErr w:type="spellEnd"/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>. Zamawiający wymaga dostarczenia centralnej konsoli dla każdej 1 szt. oprogramowania do wirtualizacji.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958" w:type="dxa"/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6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5218" w:type="dxa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color w:val="000000"/>
                <w:sz w:val="18"/>
                <w:szCs w:val="18"/>
                <w:lang w:eastAsia="pl-PL"/>
              </w:rPr>
              <w:t xml:space="preserve">Rozwiązanie zapewnia możliwość bieżącego monitorowania wykorzystania zasobów fizycznych infrastruktury wirtualnej (np. wykorzystanie procesorów, pamięci RAM, wykorzystanie przestrzeni na dyskach/wolumenach) oraz przechowuje i wyświetla dane maksymalnie sprzed roku. </w:t>
            </w:r>
          </w:p>
        </w:tc>
        <w:tc>
          <w:tcPr>
            <w:tcW w:w="2952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color w:val="000000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eastAsia="Lucida Sans Unicode" w:hAnsi="Garamond" w:cstheme="minorHAnsi"/>
          <w:b w:val="0"/>
          <w:kern w:val="1"/>
          <w:sz w:val="18"/>
          <w:szCs w:val="18"/>
          <w:lang w:eastAsia="ar-SA"/>
        </w:rPr>
      </w:pPr>
      <w:r w:rsidRPr="00053E43">
        <w:rPr>
          <w:rFonts w:ascii="Garamond" w:hAnsi="Garamond" w:cstheme="minorHAnsi"/>
          <w:sz w:val="18"/>
          <w:szCs w:val="18"/>
        </w:rPr>
        <w:t xml:space="preserve">Oprogramowanie do backup – 1 szt. </w:t>
      </w:r>
      <w:r w:rsidRPr="00053E43">
        <w:rPr>
          <w:rFonts w:ascii="Garamond" w:eastAsia="Lucida Sans Unicode" w:hAnsi="Garamond" w:cstheme="minorHAnsi"/>
          <w:b w:val="0"/>
          <w:kern w:val="1"/>
          <w:sz w:val="18"/>
          <w:szCs w:val="18"/>
          <w:lang w:eastAsia="ar-SA"/>
        </w:rPr>
        <w:t>Oferowany model (podać typ i nazwę producenta):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562"/>
        <w:gridCol w:w="1418"/>
        <w:gridCol w:w="5447"/>
        <w:gridCol w:w="1701"/>
      </w:tblGrid>
      <w:tr w:rsidR="00AF3602" w:rsidRPr="00053E43" w:rsidTr="00744463">
        <w:tc>
          <w:tcPr>
            <w:tcW w:w="562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bookmarkStart w:id="0" w:name="_Hlk94511046"/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18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0" w:type="auto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1701" w:type="dxa"/>
            <w:shd w:val="clear" w:color="000000" w:fill="FFF2CC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c>
          <w:tcPr>
            <w:tcW w:w="562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Wymagania ogólne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współpracować z oprogramowaniem do wirtualizacji dostarczonym przez wykonawcę w ramach zamówienia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zapewniać tworzenie kopii zapasowych wszystkich systemów operacyjnych maszyn wirtualnych wspieranych przez oprogramowanie do wirtualizacji dostarczone przez wykonawcę zamówienia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BE6BA9">
        <w:tc>
          <w:tcPr>
            <w:tcW w:w="562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być licencjonowanie w modelu “per-CPU”. Wszystkie funkcjonalności zawarte w tym dokumencie powinny być zapewnione w tej licencji. Jakiekolwiek dodatkowe licencjonowanie (per zabezpieczony TB, dodatkowo płatna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deduplikacja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 nie jest dozwolone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być niezależne sprzętowo i umożliwiać wykorzystanie dowolnej platformy serwerowej i dyskowej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tworzyć “samowystarczalne” archiwa do odzyskania których nie wymagana jest osobna baza danych z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metadanymi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deduplikowanych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bloków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zapewniać backup jednoprzebiegowy - nawet w przypadku wymagania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granularnego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odtworzenia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zapewniać mechanizmy informowania o wykonaniu/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błędzie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zadania poprzez email lub SNMP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mieć możliwość uruchamiania dowolnych skryptów przed i po zadaniu backupowym lub przed i po wykonaniu zadania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snapshota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oferować portal 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samoobsługowy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, umożliwiający odtwarzanie użytkownikom wirtualnych maszyn, (w tym odtwarzanie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point-in-time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mieć wbudowane mechanizmy backupu konfiguracji w celu prostego odtworzenia systemu po całkowitej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reinstalacji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mieć wbudowane mechanizmy szyfrowania zarówno plików z backupami jak i transmisji sieciowej. Włączenie szyfrowania nie może skutkować utratą jakiejkolwiek funkcjonalności wymienionej w tej specyfikacji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oferować zarządzanie kluczami w przypadku utraty podstawowego klucza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wspierać backup maszyn 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wirtualnych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używających </w:t>
            </w:r>
            <w:r w:rsidR="00480FFD" w:rsidRPr="00053E43">
              <w:rPr>
                <w:rFonts w:ascii="Garamond" w:eastAsia="Times New Roman" w:hAnsi="Garamond" w:cstheme="minorHAnsi"/>
                <w:sz w:val="18"/>
                <w:szCs w:val="18"/>
              </w:rPr>
              <w:t>współdzielonych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dysków.)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posiadać architekturę klient/serwer z możliwością instalacji wielu instancji konsoli administracyjnych.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wykorzystywać mechanizmy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Change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Block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Tracking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na wszystkich wspieranych platformach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wirtualizacyjnych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. Mechanizmy muszą być certyfikowane przez dostawcę platformy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wirtualizacyjnej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kopiowanie backupów na taśmy wraz z pełnym śledzeniem wirtualnych maszyn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mieć możliwość wydzielenia osobnej roli typu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tape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server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mieć możliwość kopiowania backupów do lokalizacji zdalnej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mieć możliwość tworzenia retencji GFS (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Grandfather-Father-Son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pozwalać na migrację on-line tak uruchomionych maszyn na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storage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produkcyjny. Migracja powinna odbywać się mechanizmami wbudowanymi w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hypervisor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. </w:t>
            </w:r>
            <w:r w:rsidR="003D13F4" w:rsidRPr="00053E43">
              <w:rPr>
                <w:rFonts w:ascii="Garamond" w:eastAsia="Times New Roman" w:hAnsi="Garamond" w:cstheme="minorHAnsi"/>
                <w:sz w:val="18"/>
                <w:szCs w:val="18"/>
              </w:rPr>
              <w:t>Jeżeli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licencja na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hypervisor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 posiada takich funkcjonalności - oprogramowanie musi realizować jakąś migrację swoimi mechanizmami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umożliwiać pełne odtworzenie wirtualnej maszyny, plików konfiguracji i dysków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odtwarzanie plików z następujących systemów plików: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Linux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ext2, ext3, ext4,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ReiserFS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(Reiser3), JFS, XFS,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Btrfs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HFS, HFS+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Windows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NTFS, FAT, FAT32,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ReFS</w:t>
            </w:r>
            <w:proofErr w:type="spellEnd"/>
          </w:p>
        </w:tc>
        <w:tc>
          <w:tcPr>
            <w:tcW w:w="1701" w:type="dxa"/>
          </w:tcPr>
          <w:p w:rsidR="00AF3602" w:rsidRPr="00053E43" w:rsidRDefault="00AF3602" w:rsidP="00744463">
            <w:p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przywracanie plików z partycji Linux LVM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wspierać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granularne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odtwarzanie baz danych Oracle z opcją odtwarzanie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point-in-time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. Funkcjonalność ta musi być dostępna dla baz uruchomionych w środowiskach Windows oraz Linux.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Funkcjonalność ta nie może wymagać pełnego odtworzenia wirtualnej maszyny ani jej uruchomienia.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indeksować pliki Windows i Linux w celu szybkiego wyszukiwania plików w plikach backupowych.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Oprogramowanie musi używać mechanizmów VSS wbudowanych w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system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operacyjny Microsoft Windows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Oprogramowanie musi wspierać także specyficzne metody odtwarzania w tym "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>reverse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CBT" oraz odtwarzanie z wykorzystaniem sieci SAN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c>
          <w:tcPr>
            <w:tcW w:w="562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4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Wparcie producenta oprogramowania na okres 36 miesięcy zapewniające dostęp do aktualizacji oprogramowania oraz zgłaszanie problemów technicznych do wsparcia producenta </w:t>
            </w:r>
          </w:p>
        </w:tc>
        <w:tc>
          <w:tcPr>
            <w:tcW w:w="1701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</w:rPr>
            </w:pPr>
          </w:p>
        </w:tc>
      </w:tr>
      <w:bookmarkEnd w:id="0"/>
    </w:tbl>
    <w:p w:rsidR="00AF3602" w:rsidRPr="00053E43" w:rsidRDefault="00AF3602" w:rsidP="00AF3602">
      <w:pPr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NumerPunkt"/>
        <w:numPr>
          <w:ilvl w:val="0"/>
          <w:numId w:val="0"/>
        </w:numPr>
        <w:rPr>
          <w:rFonts w:ascii="Garamond" w:hAnsi="Garamond" w:cstheme="minorHAnsi"/>
          <w:b w:val="0"/>
          <w:bCs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UPS – 3 szt. </w:t>
      </w:r>
      <w:r w:rsidRPr="00053E43">
        <w:rPr>
          <w:rFonts w:ascii="Garamond" w:eastAsia="Lucida Sans Unicode" w:hAnsi="Garamond" w:cstheme="minorHAnsi"/>
          <w:b w:val="0"/>
          <w:kern w:val="1"/>
          <w:sz w:val="18"/>
          <w:szCs w:val="18"/>
          <w:lang w:eastAsia="ar-SA"/>
        </w:rPr>
        <w:t>Oferowany model (podać typ i nazwę producenta):</w:t>
      </w:r>
      <w:r w:rsidRPr="00053E43">
        <w:rPr>
          <w:rFonts w:ascii="Garamond" w:hAnsi="Garamond" w:cstheme="minorHAnsi"/>
          <w:b w:val="0"/>
          <w:bCs/>
          <w:sz w:val="18"/>
          <w:szCs w:val="18"/>
        </w:rPr>
        <w:t xml:space="preserve">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573"/>
        <w:gridCol w:w="1428"/>
        <w:gridCol w:w="6130"/>
        <w:gridCol w:w="997"/>
      </w:tblGrid>
      <w:tr w:rsidR="00AF3602" w:rsidRPr="00053E43" w:rsidTr="00FC3DD7">
        <w:trPr>
          <w:jc w:val="center"/>
        </w:trPr>
        <w:tc>
          <w:tcPr>
            <w:tcW w:w="573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28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6130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997" w:type="dxa"/>
            <w:shd w:val="clear" w:color="000000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Klasa produktu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UPS - zasilacz awaryjny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Moc pozorna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3000 VA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Moc rzeczywista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2700 Wat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Architektura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UPSa</w:t>
            </w:r>
            <w:proofErr w:type="spellEnd"/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on-line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 double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conversion</w:t>
            </w:r>
            <w:proofErr w:type="spellEnd"/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Liczba i rodzaj gniazdek z utrzymaniem zasilania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8 x IEC320 C13 (10A)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Czas podtrzymania dla obciążenia 100%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3 min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Sinus podczas pracy na baterii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Porty komunikacji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RJ-45 Serial, USB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 w:val="restart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Diody sygnalizacyjne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Wyświetlacz LCD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praca z baterii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Wskaźnik obciążenia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Awaria akumulatora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Karta sieciowa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Typ obudowy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Rack</w:t>
            </w:r>
            <w:proofErr w:type="spellEnd"/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 w:val="restart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 w:val="restart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Wyposażenie standardowe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Instrukcja obsługi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oprogramowanie na CD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Kabel USB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vMerge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• Sprzęt do montażu urządzeń w szafie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Dołączone oprogramowanie</w:t>
            </w:r>
          </w:p>
        </w:tc>
        <w:tc>
          <w:tcPr>
            <w:tcW w:w="6130" w:type="dxa"/>
            <w:shd w:val="clear" w:color="auto" w:fill="auto"/>
            <w:noWrap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Dedykowane do zarządzania UPS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1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36 miesięcy. 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Dostarczone urządzenie musi być fabrycznie nowe, nieużywane w żadnych projektach, nie może być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rekondycjonowane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>, powystawowe, wyprodukowane wcześniej niż w IV kwartale 2021 r.,</w:t>
            </w:r>
            <w:r w:rsidRPr="00053E43">
              <w:rPr>
                <w:rFonts w:ascii="Garamond" w:eastAsia="Times New Roman" w:hAnsi="Garamond" w:cstheme="minorHAnsi"/>
                <w:sz w:val="18"/>
                <w:szCs w:val="18"/>
              </w:rPr>
              <w:t xml:space="preserve"> nieużywane przed dniem dostarczenia z wyłączeniem używania niezbędnego dla przeprowadzenia testu ich poprawnej pracy,</w:t>
            </w: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musi pochodzić z autoryzowanego kanału sprzedaży producenta i być przeznaczone na rynek Unii Europejskiej (znak CE).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</w:tbl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 xml:space="preserve">Urządzenie do monitorowania parametrów środowiskowych 1 szt. </w:t>
      </w:r>
      <w:r w:rsidRPr="00053E43">
        <w:rPr>
          <w:rFonts w:ascii="Garamond" w:eastAsia="Lucida Sans Unicode" w:hAnsi="Garamond" w:cstheme="minorHAnsi"/>
          <w:b/>
          <w:kern w:val="1"/>
          <w:sz w:val="18"/>
          <w:szCs w:val="18"/>
          <w:lang w:eastAsia="ar-SA"/>
        </w:rPr>
        <w:t>Oferowany model</w:t>
      </w:r>
      <w:r w:rsidRPr="00053E43">
        <w:rPr>
          <w:rFonts w:ascii="Garamond" w:eastAsia="Lucida Sans Unicode" w:hAnsi="Garamond" w:cstheme="minorHAnsi"/>
          <w:kern w:val="1"/>
          <w:sz w:val="18"/>
          <w:szCs w:val="18"/>
          <w:lang w:eastAsia="ar-SA"/>
        </w:rPr>
        <w:t xml:space="preserve"> (podać typ i nazwę producenta):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573"/>
        <w:gridCol w:w="1428"/>
        <w:gridCol w:w="6130"/>
        <w:gridCol w:w="997"/>
      </w:tblGrid>
      <w:tr w:rsidR="00AF3602" w:rsidRPr="00053E43" w:rsidTr="00FC3DD7">
        <w:trPr>
          <w:jc w:val="center"/>
        </w:trPr>
        <w:tc>
          <w:tcPr>
            <w:tcW w:w="573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428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komponentu</w:t>
            </w:r>
          </w:p>
        </w:tc>
        <w:tc>
          <w:tcPr>
            <w:tcW w:w="6130" w:type="dxa"/>
            <w:shd w:val="clear" w:color="000000" w:fill="FFF2CC"/>
            <w:vAlign w:val="center"/>
            <w:hideMark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  <w:t>Wymagane parametry techniczne</w:t>
            </w:r>
          </w:p>
        </w:tc>
        <w:tc>
          <w:tcPr>
            <w:tcW w:w="997" w:type="dxa"/>
            <w:shd w:val="clear" w:color="000000" w:fill="FFF2CC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Monitoring IP - 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Web, SNMP, SMS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Interfejs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Dostęp za pomocą przeglądarki internetowej 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LAN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Ethernet 10/100Mbit 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Protokoły sieciowe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Wbudowany serwer HTTP, agent SNMP, aktualizacja oprogramowania za pomocą FTP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Powiadomienia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FTP, </w:t>
            </w:r>
            <w:proofErr w:type="spellStart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Syslog</w:t>
            </w:r>
            <w:proofErr w:type="spellEnd"/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, SMTP lub SNMP, SMS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Wejście analogowe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8x6P4C do podłączenia 8 czujników analogowych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Wejście CAN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1x6P6C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Wyposażenie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Czujnik dymu, wilgotności i temperatury</w:t>
            </w:r>
            <w:r w:rsidR="00F8609C"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, czujnik zasilania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Wyposażenie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Czujnik zalania, kabel detekcyjny.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  <w:tr w:rsidR="00AF3602" w:rsidRPr="00053E43" w:rsidTr="00FC3DD7">
        <w:trPr>
          <w:jc w:val="center"/>
        </w:trPr>
        <w:tc>
          <w:tcPr>
            <w:tcW w:w="573" w:type="dxa"/>
            <w:shd w:val="clear" w:color="auto" w:fill="auto"/>
            <w:noWrap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2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1428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6130" w:type="dxa"/>
            <w:shd w:val="clear" w:color="auto" w:fill="auto"/>
            <w:noWrap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  <w:r w:rsidRPr="00053E43"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  <w:t xml:space="preserve">24 miesiące. </w:t>
            </w:r>
          </w:p>
        </w:tc>
        <w:tc>
          <w:tcPr>
            <w:tcW w:w="997" w:type="dxa"/>
          </w:tcPr>
          <w:p w:rsidR="00AF3602" w:rsidRPr="00053E43" w:rsidRDefault="00AF3602" w:rsidP="00744463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sz w:val="18"/>
                <w:szCs w:val="18"/>
                <w:lang w:eastAsia="pl-PL"/>
              </w:rPr>
            </w:pPr>
          </w:p>
        </w:tc>
      </w:tr>
    </w:tbl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</w:pPr>
      <w:r w:rsidRPr="00053E43">
        <w:rPr>
          <w:rFonts w:ascii="Garamond" w:eastAsia="Calibri" w:hAnsi="Garamond" w:cstheme="minorHAnsi"/>
          <w:b/>
          <w:kern w:val="0"/>
          <w:sz w:val="18"/>
          <w:szCs w:val="18"/>
          <w:lang w:eastAsia="en-US"/>
        </w:rPr>
        <w:t xml:space="preserve">Macierz do przechowywania kopii 1 szt. </w:t>
      </w:r>
      <w:r w:rsidRPr="00053E43">
        <w:rPr>
          <w:rFonts w:ascii="Garamond" w:eastAsia="Lucida Sans Unicode" w:hAnsi="Garamond" w:cstheme="minorHAnsi"/>
          <w:b/>
          <w:kern w:val="1"/>
          <w:sz w:val="18"/>
          <w:szCs w:val="18"/>
          <w:lang w:eastAsia="ar-SA"/>
        </w:rPr>
        <w:t>Oferowany model</w:t>
      </w:r>
      <w:r w:rsidRPr="00053E43">
        <w:rPr>
          <w:rFonts w:ascii="Garamond" w:eastAsia="Lucida Sans Unicode" w:hAnsi="Garamond" w:cstheme="minorHAnsi"/>
          <w:kern w:val="1"/>
          <w:sz w:val="18"/>
          <w:szCs w:val="18"/>
          <w:lang w:eastAsia="ar-SA"/>
        </w:rPr>
        <w:t xml:space="preserve"> (podać typ i nazwę producenta):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67"/>
        <w:gridCol w:w="6860"/>
        <w:gridCol w:w="1701"/>
      </w:tblGrid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AF3602" w:rsidRPr="00053E43" w:rsidRDefault="00AF3602" w:rsidP="00744463">
            <w:pPr>
              <w:spacing w:after="0" w:line="240" w:lineRule="auto"/>
              <w:ind w:left="142"/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eastAsia="Times New Roman" w:hAnsi="Garamond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Wymagane minimalne parametry techniczne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AF3602" w:rsidRPr="00053E43" w:rsidRDefault="00AF3602" w:rsidP="00744463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b/>
                <w:bCs/>
                <w:sz w:val="18"/>
                <w:szCs w:val="18"/>
              </w:rPr>
              <w:t>Oferowane parametry techniczne</w:t>
            </w: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Procesor 6 rdzeniowy min. 2.2 GHZ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Pamięć systemowa min. 8 GB DDR4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rozbudowy pamięci do 64 GB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12 kieszeni na dyski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rozbudowy do 36 kieszeni na dyski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Obsługiwane typy dysków 3.5" SATA HDD, 2.5", 2.5" SATA SSD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Zainstalowane 10 dysków o minimalnej pojemności 10TB każdy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Skonfigurowany RAID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rozszerzenia z wykorzystaniem jednostki rozszerzającej do 200 TB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wymiany dysku podczas pracy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Porty zewnętrzne 4x LAN RJ-45 1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GbE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z obsługą agregacji łącza , 2x USB 3.0, 2xgniazdo rozszerzeń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Obsługiwany system plików (dyski wewnętrzne)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Btrfs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>, EXT4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Obsługiwany system plików (dyski zewnętrzne)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Btrfs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EXT4, EXT3, FAT, NTFS, HFS+,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exFAT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Wyposażenie pozwalające na montaż w szafie RACK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Zajętość szafy 2U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Możliwość wymiany wentylatora obudowy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Obsługiwane macierze RAID: RAID F1, Basic, JBOD, RAID 0, RAID 1, RAID 5, RAID 6, RAID 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Maksymalna liczba jednoczesnych połączeń protokołu CIFS/AFP/FTP min 2000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lokalnych kont użytkownika 1600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lokalnych grup 512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folderów udostępnionych 512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Minimalna liczba zadań synchronizacji folderów udostępnionych 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Wirtualizacja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VMware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vSphere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Windows Server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Obsługiwane protokoły sieciowe SMB1 (CIFS), SMB2, SMB3, NFSv3, NFS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Kerberized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sessions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iSCSI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, HTTP, HTTPs, FTP, SNMP, LDAP,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CalDAV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 xml:space="preserve">Obsługiwane przeglądarki Chrome, </w:t>
            </w:r>
            <w:proofErr w:type="spellStart"/>
            <w:r w:rsidRPr="00053E43">
              <w:rPr>
                <w:rFonts w:ascii="Garamond" w:hAnsi="Garamond" w:cstheme="minorHAnsi"/>
                <w:sz w:val="18"/>
                <w:szCs w:val="18"/>
              </w:rPr>
              <w:t>Firefox</w:t>
            </w:r>
            <w:proofErr w:type="spellEnd"/>
            <w:r w:rsidRPr="00053E43">
              <w:rPr>
                <w:rFonts w:ascii="Garamond" w:hAnsi="Garamond" w:cstheme="minorHAnsi"/>
                <w:sz w:val="18"/>
                <w:szCs w:val="18"/>
              </w:rPr>
              <w:t>, Internet Explorer, EDGE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F3602" w:rsidRPr="00053E43" w:rsidTr="0074446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AF3602">
            <w:pPr>
              <w:pStyle w:val="Akapitzlist"/>
              <w:numPr>
                <w:ilvl w:val="0"/>
                <w:numId w:val="15"/>
              </w:numPr>
              <w:suppressAutoHyphens w:val="0"/>
              <w:spacing w:after="0" w:line="240" w:lineRule="auto"/>
              <w:rPr>
                <w:rFonts w:ascii="Garamond" w:eastAsia="Times New Roman" w:hAnsi="Garamond" w:cstheme="minorHAnsi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053E43">
              <w:rPr>
                <w:rFonts w:ascii="Garamond" w:hAnsi="Garamond" w:cstheme="minorHAnsi"/>
                <w:sz w:val="18"/>
                <w:szCs w:val="18"/>
              </w:rPr>
              <w:t>Gwarancja 36 miesięcy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602" w:rsidRPr="00053E43" w:rsidRDefault="00AF3602" w:rsidP="00744463">
            <w:pPr>
              <w:spacing w:after="0" w:line="240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AF3602">
      <w:pPr>
        <w:pStyle w:val="Standard"/>
        <w:rPr>
          <w:rFonts w:ascii="Garamond" w:hAnsi="Garamond" w:cstheme="minorHAnsi"/>
          <w:sz w:val="18"/>
          <w:szCs w:val="18"/>
        </w:rPr>
      </w:pPr>
    </w:p>
    <w:p w:rsidR="00FC3DD7" w:rsidRDefault="00FC3DD7">
      <w:pPr>
        <w:suppressAutoHyphens w:val="0"/>
        <w:spacing w:after="160" w:line="259" w:lineRule="auto"/>
        <w:rPr>
          <w:rFonts w:ascii="Garamond" w:eastAsia="Calibri" w:hAnsi="Garamond" w:cstheme="minorHAnsi"/>
          <w:b/>
          <w:kern w:val="0"/>
          <w:lang w:eastAsia="en-US"/>
        </w:rPr>
      </w:pPr>
      <w:r>
        <w:rPr>
          <w:rFonts w:ascii="Garamond" w:eastAsia="Calibri" w:hAnsi="Garamond" w:cstheme="minorHAnsi"/>
          <w:b/>
          <w:kern w:val="0"/>
          <w:lang w:eastAsia="en-US"/>
        </w:rPr>
        <w:br w:type="page"/>
      </w:r>
    </w:p>
    <w:p w:rsidR="00AF3602" w:rsidRPr="00FC3DD7" w:rsidRDefault="00FC3DD7" w:rsidP="00FC3DD7">
      <w:pPr>
        <w:pStyle w:val="Nagwek3"/>
        <w:spacing w:before="0"/>
        <w:ind w:left="454"/>
        <w:jc w:val="center"/>
        <w:rPr>
          <w:rFonts w:ascii="Garamond" w:eastAsia="Calibri" w:hAnsi="Garamond" w:cstheme="minorHAnsi"/>
          <w:b/>
          <w:color w:val="0070C0"/>
          <w:kern w:val="0"/>
          <w:sz w:val="22"/>
          <w:szCs w:val="22"/>
          <w:lang w:eastAsia="en-US"/>
        </w:rPr>
      </w:pPr>
      <w:r w:rsidRPr="00FC3DD7">
        <w:rPr>
          <w:rFonts w:ascii="Garamond" w:eastAsia="Calibri" w:hAnsi="Garamond" w:cstheme="minorHAnsi"/>
          <w:b/>
          <w:color w:val="0070C0"/>
          <w:kern w:val="0"/>
          <w:sz w:val="22"/>
          <w:szCs w:val="22"/>
          <w:lang w:eastAsia="en-US"/>
        </w:rPr>
        <w:lastRenderedPageBreak/>
        <w:t>SZCZEGÓŁOWY OPIS WDROŻENIA PLATFORM SERWEROWYCH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Dostawa elementów sprzętowych oraz oprogramowania zgodnie z zamówieniem:</w:t>
      </w:r>
    </w:p>
    <w:p w:rsidR="00AF3602" w:rsidRPr="00053E43" w:rsidRDefault="00AF3602" w:rsidP="00FC3DD7">
      <w:pPr>
        <w:numPr>
          <w:ilvl w:val="1"/>
          <w:numId w:val="1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Odbiór ilościowy i jakościowy</w:t>
      </w:r>
    </w:p>
    <w:p w:rsidR="00AF3602" w:rsidRPr="00053E43" w:rsidRDefault="00AF3602" w:rsidP="00FC3DD7">
      <w:pPr>
        <w:numPr>
          <w:ilvl w:val="1"/>
          <w:numId w:val="1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systemów operacyjnych i konfiguracja stacji roboczych według wymagań Zamawiającego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infrastruktury sprzętowej:</w:t>
      </w:r>
    </w:p>
    <w:p w:rsidR="00AF3602" w:rsidRPr="00053E43" w:rsidRDefault="00AF3602" w:rsidP="00FC3DD7">
      <w:pPr>
        <w:numPr>
          <w:ilvl w:val="1"/>
          <w:numId w:val="17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platformy serwerowej</w:t>
      </w:r>
    </w:p>
    <w:p w:rsidR="00AF3602" w:rsidRPr="00053E43" w:rsidRDefault="00AF3602" w:rsidP="00FC3DD7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0"/>
        <w:ind w:left="1843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Montaż serwera we wskazanym miejscu przez zamawiającego</w:t>
      </w:r>
    </w:p>
    <w:p w:rsidR="00AF3602" w:rsidRPr="00053E43" w:rsidRDefault="00AF3602" w:rsidP="00FC3DD7">
      <w:pPr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 w:val="0"/>
        <w:spacing w:after="0"/>
        <w:ind w:left="1843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Aktualizacja oprogramowania wewnętrznego serwerów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serwerów wirtualnych:</w:t>
      </w:r>
    </w:p>
    <w:p w:rsidR="00AF3602" w:rsidRPr="00053E43" w:rsidRDefault="00AF3602" w:rsidP="00FC3DD7">
      <w:pPr>
        <w:numPr>
          <w:ilvl w:val="1"/>
          <w:numId w:val="19"/>
        </w:numPr>
        <w:overflowPunct w:val="0"/>
        <w:spacing w:after="0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Instalacja i konfiguracja serwera na którym będzie uruchomione środowisko </w:t>
      </w:r>
      <w:proofErr w:type="spellStart"/>
      <w:r w:rsidRPr="00053E43">
        <w:rPr>
          <w:rFonts w:ascii="Garamond" w:hAnsi="Garamond" w:cstheme="minorHAnsi"/>
          <w:sz w:val="18"/>
          <w:szCs w:val="18"/>
        </w:rPr>
        <w:t>hyperwizora</w:t>
      </w:r>
      <w:proofErr w:type="spellEnd"/>
    </w:p>
    <w:p w:rsidR="00AF3602" w:rsidRPr="00053E43" w:rsidRDefault="00AF3602" w:rsidP="00FC3DD7">
      <w:pPr>
        <w:numPr>
          <w:ilvl w:val="1"/>
          <w:numId w:val="19"/>
        </w:numPr>
        <w:overflowPunct w:val="0"/>
        <w:spacing w:after="0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Uruchomienie serwerów wirtualnych (platforma fizyczna) wraz z konfiguracją niezbędnych usług dodatkowych</w:t>
      </w:r>
      <w:r w:rsidR="00C20EB4" w:rsidRPr="00053E43">
        <w:rPr>
          <w:rFonts w:ascii="Garamond" w:hAnsi="Garamond" w:cstheme="minorHAnsi"/>
          <w:sz w:val="18"/>
          <w:szCs w:val="18"/>
        </w:rPr>
        <w:t>.</w:t>
      </w:r>
    </w:p>
    <w:p w:rsidR="00FC3DD7" w:rsidRDefault="00FC3DD7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454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Budowa środowiska maszyn wirtualnych:</w:t>
      </w:r>
    </w:p>
    <w:p w:rsidR="00AF3602" w:rsidRPr="00053E43" w:rsidRDefault="00AF3602" w:rsidP="00FC3DD7">
      <w:pPr>
        <w:numPr>
          <w:ilvl w:val="1"/>
          <w:numId w:val="20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Przeprowadzenie migracji wskazanych maszyn za pomocą narzędzi do konwersji (ilość systemów podlegających konwersji zostanie ustalona na poziomie definiowania uzgodnień przedwdrożeniowych)</w:t>
      </w:r>
    </w:p>
    <w:p w:rsidR="00AF3602" w:rsidRPr="00053E43" w:rsidRDefault="00AF3602" w:rsidP="00FC3DD7">
      <w:pPr>
        <w:numPr>
          <w:ilvl w:val="1"/>
          <w:numId w:val="20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Budowa maszyn wirtualnych dla systemów nie podlegających migracji za pomocą narzędzia do konwersji</w:t>
      </w:r>
    </w:p>
    <w:p w:rsidR="00AF3602" w:rsidRPr="00053E43" w:rsidRDefault="00AF3602" w:rsidP="00FC3DD7">
      <w:pPr>
        <w:numPr>
          <w:ilvl w:val="1"/>
          <w:numId w:val="20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Testy i strojenie wydajnościowe</w:t>
      </w:r>
    </w:p>
    <w:p w:rsidR="00FC3DD7" w:rsidRDefault="00FC3DD7" w:rsidP="00FC3DD7">
      <w:pPr>
        <w:spacing w:after="0"/>
        <w:ind w:firstLine="708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firstLine="708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systemu backupu/archiwizacji:</w:t>
      </w:r>
    </w:p>
    <w:p w:rsidR="00AF3602" w:rsidRPr="00053E43" w:rsidRDefault="00AF3602" w:rsidP="00FC3DD7">
      <w:pPr>
        <w:numPr>
          <w:ilvl w:val="1"/>
          <w:numId w:val="21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 konfiguracja systemu backupu</w:t>
      </w:r>
    </w:p>
    <w:p w:rsidR="00AF3602" w:rsidRPr="00053E43" w:rsidRDefault="00AF3602" w:rsidP="00FC3DD7">
      <w:pPr>
        <w:numPr>
          <w:ilvl w:val="1"/>
          <w:numId w:val="21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Przeprowadzanie testów backupu</w:t>
      </w:r>
    </w:p>
    <w:p w:rsidR="00C20EB4" w:rsidRPr="00053E43" w:rsidRDefault="00AF3602" w:rsidP="00FC3DD7">
      <w:pPr>
        <w:numPr>
          <w:ilvl w:val="1"/>
          <w:numId w:val="21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Przeprowadzenie testów odtworzeniowych</w:t>
      </w:r>
    </w:p>
    <w:p w:rsidR="00FC3DD7" w:rsidRDefault="00FC3DD7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Budowa środowiska usługi katalogowej</w:t>
      </w:r>
    </w:p>
    <w:p w:rsidR="00AF3602" w:rsidRPr="00053E43" w:rsidRDefault="00AF3602" w:rsidP="00FC3DD7">
      <w:pPr>
        <w:numPr>
          <w:ilvl w:val="1"/>
          <w:numId w:val="22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Instalacja infrastruktury usługi katalogowej - instalacja serwera, aktualizacja, instalacja roli</w:t>
      </w:r>
    </w:p>
    <w:p w:rsidR="00AF3602" w:rsidRPr="00053E43" w:rsidRDefault="00C20EB4" w:rsidP="00FC3DD7">
      <w:pPr>
        <w:numPr>
          <w:ilvl w:val="1"/>
          <w:numId w:val="22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Przeniesienie </w:t>
      </w:r>
      <w:r w:rsidR="00C52E66" w:rsidRPr="00053E43">
        <w:rPr>
          <w:rFonts w:ascii="Garamond" w:hAnsi="Garamond" w:cstheme="minorHAnsi"/>
          <w:sz w:val="18"/>
          <w:szCs w:val="18"/>
        </w:rPr>
        <w:t xml:space="preserve">istniejących </w:t>
      </w:r>
      <w:r w:rsidRPr="00053E43">
        <w:rPr>
          <w:rFonts w:ascii="Garamond" w:hAnsi="Garamond" w:cstheme="minorHAnsi"/>
          <w:sz w:val="18"/>
          <w:szCs w:val="18"/>
        </w:rPr>
        <w:t>p</w:t>
      </w:r>
      <w:r w:rsidR="00AF3602" w:rsidRPr="00053E43">
        <w:rPr>
          <w:rFonts w:ascii="Garamond" w:hAnsi="Garamond" w:cstheme="minorHAnsi"/>
          <w:sz w:val="18"/>
          <w:szCs w:val="18"/>
        </w:rPr>
        <w:t>olis GPO</w:t>
      </w:r>
      <w:r w:rsidRPr="00053E43">
        <w:rPr>
          <w:rFonts w:ascii="Garamond" w:hAnsi="Garamond" w:cstheme="minorHAnsi"/>
          <w:sz w:val="18"/>
          <w:szCs w:val="18"/>
        </w:rPr>
        <w:t xml:space="preserve"> do nowego środowiska</w:t>
      </w:r>
    </w:p>
    <w:p w:rsidR="00FC3DD7" w:rsidRDefault="00FC3DD7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ind w:left="720"/>
        <w:jc w:val="both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Migracja istniejących systemów jednostki do nowej platformy (wymagane jest wsparcie producenta lub autoryzowanego partnera przy migracji)</w:t>
      </w:r>
      <w:r w:rsidR="009A535F" w:rsidRPr="00053E43">
        <w:rPr>
          <w:rFonts w:ascii="Garamond" w:hAnsi="Garamond" w:cstheme="minorHAnsi"/>
          <w:sz w:val="18"/>
          <w:szCs w:val="18"/>
        </w:rPr>
        <w:t>:</w:t>
      </w:r>
    </w:p>
    <w:p w:rsidR="00AF3602" w:rsidRPr="00053E43" w:rsidRDefault="00C20EB4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ZSIMED</w:t>
      </w:r>
      <w:r w:rsidR="00AF3602" w:rsidRPr="00053E43">
        <w:rPr>
          <w:rFonts w:ascii="Garamond" w:hAnsi="Garamond" w:cstheme="minorHAnsi"/>
          <w:sz w:val="18"/>
          <w:szCs w:val="18"/>
        </w:rPr>
        <w:t xml:space="preserve"> firmy KAMSOFT</w:t>
      </w:r>
      <w:r w:rsidRPr="00053E43">
        <w:rPr>
          <w:rFonts w:ascii="Garamond" w:hAnsi="Garamond" w:cstheme="minorHAnsi"/>
          <w:sz w:val="18"/>
          <w:szCs w:val="18"/>
        </w:rPr>
        <w:t xml:space="preserve"> S.A.</w:t>
      </w:r>
    </w:p>
    <w:p w:rsidR="00AF3602" w:rsidRPr="00053E43" w:rsidRDefault="00AF3602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>Obchód lekarski firmy KAMSOFT</w:t>
      </w:r>
      <w:r w:rsidR="00C20EB4" w:rsidRPr="00053E43">
        <w:rPr>
          <w:rFonts w:ascii="Garamond" w:hAnsi="Garamond" w:cstheme="minorHAnsi"/>
          <w:sz w:val="18"/>
          <w:szCs w:val="18"/>
        </w:rPr>
        <w:t xml:space="preserve"> S.A.</w:t>
      </w:r>
    </w:p>
    <w:p w:rsidR="00AF3602" w:rsidRPr="00053E43" w:rsidRDefault="00C20EB4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Usługa </w:t>
      </w:r>
      <w:r w:rsidR="00AF3602" w:rsidRPr="00053E43">
        <w:rPr>
          <w:rFonts w:ascii="Garamond" w:hAnsi="Garamond" w:cstheme="minorHAnsi"/>
          <w:sz w:val="18"/>
          <w:szCs w:val="18"/>
        </w:rPr>
        <w:t>H</w:t>
      </w:r>
      <w:r w:rsidRPr="00053E43">
        <w:rPr>
          <w:rFonts w:ascii="Garamond" w:hAnsi="Garamond" w:cstheme="minorHAnsi"/>
          <w:sz w:val="18"/>
          <w:szCs w:val="18"/>
        </w:rPr>
        <w:t>L</w:t>
      </w:r>
      <w:r w:rsidR="00AF3602" w:rsidRPr="00053E43">
        <w:rPr>
          <w:rFonts w:ascii="Garamond" w:hAnsi="Garamond" w:cstheme="minorHAnsi"/>
          <w:sz w:val="18"/>
          <w:szCs w:val="18"/>
        </w:rPr>
        <w:t>7 firmy KAMSOFT</w:t>
      </w:r>
      <w:r w:rsidRPr="00053E43">
        <w:rPr>
          <w:rFonts w:ascii="Garamond" w:hAnsi="Garamond" w:cstheme="minorHAnsi"/>
          <w:sz w:val="18"/>
          <w:szCs w:val="18"/>
        </w:rPr>
        <w:t xml:space="preserve"> S.A.</w:t>
      </w:r>
    </w:p>
    <w:p w:rsidR="00AF3602" w:rsidRPr="00053E43" w:rsidRDefault="00AF3602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 xml:space="preserve">Usługi </w:t>
      </w:r>
      <w:r w:rsidR="00BE22FD" w:rsidRPr="00053E43">
        <w:rPr>
          <w:rFonts w:ascii="Garamond" w:hAnsi="Garamond" w:cstheme="minorHAnsi"/>
          <w:sz w:val="18"/>
          <w:szCs w:val="18"/>
        </w:rPr>
        <w:t>firmy KAMSOFT S.A.</w:t>
      </w:r>
      <w:r w:rsidRPr="00053E43">
        <w:rPr>
          <w:rFonts w:ascii="Garamond" w:hAnsi="Garamond" w:cstheme="minorHAnsi"/>
          <w:sz w:val="18"/>
          <w:szCs w:val="18"/>
        </w:rPr>
        <w:t xml:space="preserve"> do obsługi </w:t>
      </w:r>
      <w:r w:rsidR="00C20EB4" w:rsidRPr="00053E43">
        <w:rPr>
          <w:rFonts w:ascii="Garamond" w:hAnsi="Garamond" w:cstheme="minorHAnsi"/>
          <w:sz w:val="18"/>
          <w:szCs w:val="18"/>
        </w:rPr>
        <w:t xml:space="preserve">posiadanego przez Zamawiającego systemu kolejkowego firmy </w:t>
      </w:r>
      <w:r w:rsidR="00335F39" w:rsidRPr="00053E43">
        <w:rPr>
          <w:rFonts w:ascii="Garamond" w:hAnsi="Garamond" w:cstheme="minorHAnsi"/>
          <w:sz w:val="18"/>
          <w:szCs w:val="18"/>
        </w:rPr>
        <w:t>INFOBOX</w:t>
      </w:r>
      <w:r w:rsidR="00BE22FD" w:rsidRPr="00053E43">
        <w:rPr>
          <w:rFonts w:ascii="Garamond" w:hAnsi="Garamond" w:cstheme="minorHAnsi"/>
          <w:sz w:val="18"/>
          <w:szCs w:val="18"/>
        </w:rPr>
        <w:t xml:space="preserve"> zintegrowanego z systemem firmy KAMSOFT S.A.</w:t>
      </w:r>
    </w:p>
    <w:p w:rsidR="00C20EB4" w:rsidRPr="00053E43" w:rsidRDefault="00C20EB4" w:rsidP="00FC3DD7">
      <w:pPr>
        <w:numPr>
          <w:ilvl w:val="1"/>
          <w:numId w:val="26"/>
        </w:numPr>
        <w:overflowPunct w:val="0"/>
        <w:spacing w:after="0"/>
        <w:jc w:val="both"/>
        <w:textAlignment w:val="baseline"/>
        <w:rPr>
          <w:rFonts w:ascii="Garamond" w:hAnsi="Garamond" w:cstheme="minorHAnsi"/>
          <w:sz w:val="18"/>
          <w:szCs w:val="18"/>
        </w:rPr>
      </w:pPr>
      <w:proofErr w:type="spellStart"/>
      <w:r w:rsidRPr="00053E43">
        <w:rPr>
          <w:rFonts w:ascii="Garamond" w:hAnsi="Garamond" w:cstheme="minorHAnsi"/>
          <w:sz w:val="18"/>
          <w:szCs w:val="18"/>
        </w:rPr>
        <w:t>ZSIRep</w:t>
      </w:r>
      <w:proofErr w:type="spellEnd"/>
      <w:r w:rsidRPr="00053E43">
        <w:rPr>
          <w:rFonts w:ascii="Garamond" w:hAnsi="Garamond" w:cstheme="minorHAnsi"/>
          <w:sz w:val="18"/>
          <w:szCs w:val="18"/>
        </w:rPr>
        <w:t xml:space="preserve"> firmy KAMSOFT S.A. – instalacja, przeniesienie bazy danych, plików, konfiguracji</w:t>
      </w:r>
    </w:p>
    <w:p w:rsidR="00AF3602" w:rsidRPr="00053E43" w:rsidRDefault="00AF3602" w:rsidP="00FC3DD7">
      <w:pPr>
        <w:spacing w:after="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spacing w:after="0"/>
        <w:jc w:val="both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pStyle w:val="Standard"/>
        <w:spacing w:line="276" w:lineRule="auto"/>
        <w:rPr>
          <w:rFonts w:ascii="Garamond" w:hAnsi="Garamond" w:cstheme="minorHAnsi"/>
          <w:sz w:val="18"/>
          <w:szCs w:val="18"/>
        </w:rPr>
      </w:pPr>
    </w:p>
    <w:p w:rsidR="00AF3602" w:rsidRPr="00053E43" w:rsidRDefault="00AF3602" w:rsidP="00FC3DD7">
      <w:pPr>
        <w:pStyle w:val="Standard"/>
        <w:spacing w:line="276" w:lineRule="auto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  <w:t>………………………………………….</w:t>
      </w:r>
    </w:p>
    <w:p w:rsidR="00AF3602" w:rsidRPr="00053E43" w:rsidRDefault="00AF3602" w:rsidP="00FC3DD7">
      <w:pPr>
        <w:pStyle w:val="Standard"/>
        <w:shd w:val="clear" w:color="auto" w:fill="FFFFFF"/>
        <w:spacing w:line="276" w:lineRule="auto"/>
        <w:rPr>
          <w:rFonts w:ascii="Garamond" w:hAnsi="Garamond" w:cstheme="minorHAnsi"/>
          <w:sz w:val="18"/>
          <w:szCs w:val="18"/>
        </w:rPr>
      </w:pP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</w:r>
      <w:r w:rsidRPr="00053E43">
        <w:rPr>
          <w:rFonts w:ascii="Garamond" w:hAnsi="Garamond" w:cstheme="minorHAnsi"/>
          <w:sz w:val="18"/>
          <w:szCs w:val="18"/>
        </w:rPr>
        <w:tab/>
        <w:t>( podpis i pieczęć osoby uprawnionej do reprezentowania Wykonawcy)</w:t>
      </w:r>
      <w:r w:rsidRPr="00053E43">
        <w:rPr>
          <w:rFonts w:ascii="Garamond" w:hAnsi="Garamond" w:cstheme="minorHAnsi"/>
          <w:sz w:val="18"/>
          <w:szCs w:val="18"/>
        </w:rPr>
        <w:tab/>
      </w:r>
    </w:p>
    <w:p w:rsidR="000B2D3E" w:rsidRPr="00053E43" w:rsidRDefault="000B2D3E" w:rsidP="00FC3DD7">
      <w:pPr>
        <w:spacing w:after="0"/>
        <w:rPr>
          <w:rFonts w:ascii="Garamond" w:hAnsi="Garamond" w:cstheme="minorHAnsi"/>
          <w:sz w:val="18"/>
          <w:szCs w:val="18"/>
        </w:rPr>
      </w:pPr>
    </w:p>
    <w:sectPr w:rsidR="000B2D3E" w:rsidRPr="00053E43" w:rsidSect="00C806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9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23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0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7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4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1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9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6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3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060" w:hanging="360"/>
      </w:pPr>
      <w:rPr>
        <w:rFonts w:ascii="Wingdings" w:hAnsi="Wingdings" w:cs="Wingdings"/>
      </w:rPr>
    </w:lvl>
  </w:abstractNum>
  <w:abstractNum w:abstractNumId="4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ahom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24073B4"/>
    <w:multiLevelType w:val="hybridMultilevel"/>
    <w:tmpl w:val="311C5B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043D43AA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1B16490F"/>
    <w:multiLevelType w:val="multilevel"/>
    <w:tmpl w:val="7E8C24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>
    <w:nsid w:val="1E433988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08B35A4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22F27CF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98D5205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2B383544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2D9274FE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2FC2D83"/>
    <w:multiLevelType w:val="multilevel"/>
    <w:tmpl w:val="E84C69A6"/>
    <w:name w:val="WW8Num1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9">
    <w:nsid w:val="45CF4B6A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30A7DC5"/>
    <w:multiLevelType w:val="hybridMultilevel"/>
    <w:tmpl w:val="C94CE346"/>
    <w:lvl w:ilvl="0" w:tplc="A0DED4D0">
      <w:start w:val="1"/>
      <w:numFmt w:val="upperLetter"/>
      <w:pStyle w:val="NumerPunkt"/>
      <w:lvlText w:val="%1."/>
      <w:lvlJc w:val="left"/>
      <w:pPr>
        <w:ind w:left="720" w:hanging="360"/>
      </w:pPr>
    </w:lvl>
    <w:lvl w:ilvl="1" w:tplc="83BAD4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681641"/>
    <w:multiLevelType w:val="hybridMultilevel"/>
    <w:tmpl w:val="311C5B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DD45D01"/>
    <w:multiLevelType w:val="hybridMultilevel"/>
    <w:tmpl w:val="311C5B10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9F53C1E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759B021D"/>
    <w:multiLevelType w:val="hybridMultilevel"/>
    <w:tmpl w:val="862CD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CD7FC2"/>
    <w:multiLevelType w:val="hybridMultilevel"/>
    <w:tmpl w:val="311C5B1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23"/>
  </w:num>
  <w:num w:numId="5">
    <w:abstractNumId w:val="15"/>
  </w:num>
  <w:num w:numId="6">
    <w:abstractNumId w:val="13"/>
  </w:num>
  <w:num w:numId="7">
    <w:abstractNumId w:val="17"/>
  </w:num>
  <w:num w:numId="8">
    <w:abstractNumId w:val="11"/>
  </w:num>
  <w:num w:numId="9">
    <w:abstractNumId w:val="0"/>
  </w:num>
  <w:num w:numId="10">
    <w:abstractNumId w:val="19"/>
  </w:num>
  <w:num w:numId="11">
    <w:abstractNumId w:val="25"/>
  </w:num>
  <w:num w:numId="12">
    <w:abstractNumId w:val="22"/>
  </w:num>
  <w:num w:numId="13">
    <w:abstractNumId w:val="24"/>
  </w:num>
  <w:num w:numId="14">
    <w:abstractNumId w:val="10"/>
  </w:num>
  <w:num w:numId="15">
    <w:abstractNumId w:val="14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6"/>
  </w:num>
  <w:num w:numId="22">
    <w:abstractNumId w:val="7"/>
  </w:num>
  <w:num w:numId="23">
    <w:abstractNumId w:val="8"/>
  </w:num>
  <w:num w:numId="24">
    <w:abstractNumId w:val="9"/>
  </w:num>
  <w:num w:numId="25">
    <w:abstractNumId w:val="21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92F9E"/>
    <w:rsid w:val="00022235"/>
    <w:rsid w:val="00053E43"/>
    <w:rsid w:val="00091D5F"/>
    <w:rsid w:val="000B2D3E"/>
    <w:rsid w:val="000E3E5E"/>
    <w:rsid w:val="00174A93"/>
    <w:rsid w:val="00192F9E"/>
    <w:rsid w:val="002137BA"/>
    <w:rsid w:val="00232D6E"/>
    <w:rsid w:val="00243D80"/>
    <w:rsid w:val="00246324"/>
    <w:rsid w:val="002870CB"/>
    <w:rsid w:val="00312B5D"/>
    <w:rsid w:val="00335F39"/>
    <w:rsid w:val="00396062"/>
    <w:rsid w:val="003D13F4"/>
    <w:rsid w:val="003D230E"/>
    <w:rsid w:val="004703AE"/>
    <w:rsid w:val="00480FFD"/>
    <w:rsid w:val="004958E6"/>
    <w:rsid w:val="005557E5"/>
    <w:rsid w:val="00626281"/>
    <w:rsid w:val="006533D4"/>
    <w:rsid w:val="006558C5"/>
    <w:rsid w:val="00675336"/>
    <w:rsid w:val="007656D3"/>
    <w:rsid w:val="00771998"/>
    <w:rsid w:val="007C2B0C"/>
    <w:rsid w:val="007E47A7"/>
    <w:rsid w:val="00853D4D"/>
    <w:rsid w:val="00893A61"/>
    <w:rsid w:val="008D209D"/>
    <w:rsid w:val="008F280C"/>
    <w:rsid w:val="009405F2"/>
    <w:rsid w:val="00994F0C"/>
    <w:rsid w:val="009A535F"/>
    <w:rsid w:val="00A2108C"/>
    <w:rsid w:val="00A379F5"/>
    <w:rsid w:val="00A7568A"/>
    <w:rsid w:val="00AD2A54"/>
    <w:rsid w:val="00AD7B0F"/>
    <w:rsid w:val="00AF3602"/>
    <w:rsid w:val="00B3121A"/>
    <w:rsid w:val="00B6232C"/>
    <w:rsid w:val="00B71F3A"/>
    <w:rsid w:val="00B86C15"/>
    <w:rsid w:val="00BA3820"/>
    <w:rsid w:val="00BB1D64"/>
    <w:rsid w:val="00BE22FD"/>
    <w:rsid w:val="00BE6BA9"/>
    <w:rsid w:val="00BF42A7"/>
    <w:rsid w:val="00C1059F"/>
    <w:rsid w:val="00C11A60"/>
    <w:rsid w:val="00C20EB4"/>
    <w:rsid w:val="00C52E66"/>
    <w:rsid w:val="00CA679A"/>
    <w:rsid w:val="00CB1346"/>
    <w:rsid w:val="00CC48A3"/>
    <w:rsid w:val="00CC7EE9"/>
    <w:rsid w:val="00D65C76"/>
    <w:rsid w:val="00E051AE"/>
    <w:rsid w:val="00E070BF"/>
    <w:rsid w:val="00F742B8"/>
    <w:rsid w:val="00F8609C"/>
    <w:rsid w:val="00FC3DD7"/>
    <w:rsid w:val="00FD2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8C5"/>
    <w:pPr>
      <w:suppressAutoHyphens/>
      <w:spacing w:after="200" w:line="276" w:lineRule="auto"/>
    </w:pPr>
    <w:rPr>
      <w:rFonts w:ascii="Calibri" w:eastAsia="Lucida Sans Unicode" w:hAnsi="Calibri" w:cs="font291"/>
      <w:kern w:val="1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36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aliases w:val="F4"/>
    <w:basedOn w:val="Normalny"/>
    <w:next w:val="Normalny"/>
    <w:link w:val="Nagwek4Znak"/>
    <w:uiPriority w:val="99"/>
    <w:qFormat/>
    <w:rsid w:val="00AF3602"/>
    <w:pPr>
      <w:keepNext/>
      <w:keepLines/>
      <w:tabs>
        <w:tab w:val="num" w:pos="0"/>
      </w:tabs>
      <w:spacing w:after="100" w:afterAutospacing="1" w:line="360" w:lineRule="auto"/>
      <w:ind w:left="864" w:hanging="864"/>
      <w:outlineLvl w:val="3"/>
    </w:pPr>
    <w:rPr>
      <w:rFonts w:ascii="Tahoma" w:eastAsia="Calibri" w:hAnsi="Tahoma" w:cs="Calibri"/>
      <w:b/>
      <w:bCs/>
      <w:iCs/>
      <w:kern w:val="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Obiekt,List Paragraph1,Bulleted list,List Paragraph,Akapit z listą BS,Kolorowa lista — akcent 11,sw tekst,Numerowanie,L1,lp1,Preambuła,Colorful Shading - Accent 31,Light List - Accent 51,Akapit z listą5"/>
    <w:basedOn w:val="Normalny"/>
    <w:link w:val="AkapitzlistZnak"/>
    <w:uiPriority w:val="34"/>
    <w:qFormat/>
    <w:rsid w:val="006558C5"/>
    <w:pPr>
      <w:ind w:left="720"/>
      <w:contextualSpacing/>
    </w:pPr>
  </w:style>
  <w:style w:type="character" w:customStyle="1" w:styleId="AkapitzlistZnak">
    <w:name w:val="Akapit z listą Znak"/>
    <w:aliases w:val="Obiekt Znak,List Paragraph1 Znak,Bulleted list Znak,List Paragraph Znak,Akapit z listą BS Znak,Kolorowa lista — akcent 11 Znak,sw tekst Znak,Numerowanie Znak,L1 Znak,lp1 Znak,Preambuła Znak,Colorful Shading - Accent 31 Znak"/>
    <w:link w:val="Akapitzlist"/>
    <w:uiPriority w:val="34"/>
    <w:qFormat/>
    <w:locked/>
    <w:rsid w:val="006558C5"/>
    <w:rPr>
      <w:rFonts w:ascii="Calibri" w:eastAsia="Lucida Sans Unicode" w:hAnsi="Calibri" w:cs="font291"/>
      <w:kern w:val="1"/>
      <w:lang w:eastAsia="ar-SA"/>
    </w:rPr>
  </w:style>
  <w:style w:type="paragraph" w:customStyle="1" w:styleId="NumerPunkt">
    <w:name w:val="NumerPunkt"/>
    <w:basedOn w:val="Normalny"/>
    <w:link w:val="NumerPunktZnak"/>
    <w:qFormat/>
    <w:rsid w:val="006558C5"/>
    <w:pPr>
      <w:numPr>
        <w:numId w:val="2"/>
      </w:numPr>
      <w:suppressAutoHyphens w:val="0"/>
      <w:spacing w:before="120" w:after="0" w:line="240" w:lineRule="auto"/>
    </w:pPr>
    <w:rPr>
      <w:rFonts w:eastAsia="Calibri" w:cs="Times New Roman"/>
      <w:b/>
      <w:kern w:val="0"/>
      <w:lang w:eastAsia="en-US"/>
    </w:rPr>
  </w:style>
  <w:style w:type="character" w:customStyle="1" w:styleId="NumerPunktZnak">
    <w:name w:val="NumerPunkt Znak"/>
    <w:link w:val="NumerPunkt"/>
    <w:rsid w:val="006558C5"/>
    <w:rPr>
      <w:rFonts w:ascii="Calibri" w:eastAsia="Calibri" w:hAnsi="Calibri" w:cs="Times New Roman"/>
      <w:b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3602"/>
    <w:rPr>
      <w:rFonts w:asciiTheme="majorHAnsi" w:eastAsiaTheme="majorEastAsia" w:hAnsiTheme="majorHAnsi" w:cstheme="majorBidi"/>
      <w:color w:val="1F3763" w:themeColor="accent1" w:themeShade="7F"/>
      <w:kern w:val="1"/>
      <w:sz w:val="24"/>
      <w:szCs w:val="24"/>
      <w:lang w:eastAsia="ar-SA"/>
    </w:rPr>
  </w:style>
  <w:style w:type="character" w:customStyle="1" w:styleId="Nagwek4Znak">
    <w:name w:val="Nagłówek 4 Znak"/>
    <w:aliases w:val="F4 Znak"/>
    <w:basedOn w:val="Domylnaczcionkaakapitu"/>
    <w:link w:val="Nagwek4"/>
    <w:uiPriority w:val="99"/>
    <w:rsid w:val="00AF3602"/>
    <w:rPr>
      <w:rFonts w:ascii="Tahoma" w:eastAsia="Calibri" w:hAnsi="Tahoma" w:cs="Calibri"/>
      <w:b/>
      <w:bCs/>
      <w:iCs/>
      <w:lang w:eastAsia="zh-CN"/>
    </w:rPr>
  </w:style>
  <w:style w:type="character" w:styleId="Hipercze">
    <w:name w:val="Hyperlink"/>
    <w:uiPriority w:val="99"/>
    <w:unhideWhenUsed/>
    <w:rsid w:val="00AF3602"/>
    <w:rPr>
      <w:color w:val="0563C1"/>
      <w:u w:val="single"/>
    </w:rPr>
  </w:style>
  <w:style w:type="character" w:styleId="UyteHipercze">
    <w:name w:val="FollowedHyperlink"/>
    <w:uiPriority w:val="99"/>
    <w:semiHidden/>
    <w:unhideWhenUsed/>
    <w:rsid w:val="00AF3602"/>
    <w:rPr>
      <w:color w:val="954F72"/>
      <w:u w:val="single"/>
    </w:rPr>
  </w:style>
  <w:style w:type="paragraph" w:styleId="Bezodstpw">
    <w:name w:val="No Spacing"/>
    <w:uiPriority w:val="1"/>
    <w:qFormat/>
    <w:rsid w:val="00AF360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AF36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character" w:customStyle="1" w:styleId="Domylnaczcionkaakapitu1">
    <w:name w:val="Domyślna czcionka akapitu1"/>
    <w:rsid w:val="00AF3602"/>
  </w:style>
  <w:style w:type="character" w:customStyle="1" w:styleId="TekstdymkaZnak">
    <w:name w:val="Tekst dymka Znak"/>
    <w:basedOn w:val="Domylnaczcionkaakapitu1"/>
    <w:uiPriority w:val="99"/>
    <w:rsid w:val="00AF3602"/>
  </w:style>
  <w:style w:type="paragraph" w:customStyle="1" w:styleId="Podpis1">
    <w:name w:val="Podpis1"/>
    <w:basedOn w:val="Normalny"/>
    <w:rsid w:val="00AF36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AF3602"/>
    <w:pPr>
      <w:suppressLineNumbers/>
    </w:pPr>
    <w:rPr>
      <w:rFonts w:cs="Tahoma"/>
    </w:rPr>
  </w:style>
  <w:style w:type="character" w:customStyle="1" w:styleId="WW8Num1z8">
    <w:name w:val="WW8Num1z8"/>
    <w:rsid w:val="00AF36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ec.org" TargetMode="External"/><Relationship Id="rId5" Type="http://schemas.openxmlformats.org/officeDocument/2006/relationships/hyperlink" Target="http://www.spec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3346</Words>
  <Characters>20076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mchomicz</dc:creator>
  <cp:lastModifiedBy>mnowosadko</cp:lastModifiedBy>
  <cp:revision>3</cp:revision>
  <cp:lastPrinted>2021-04-16T08:00:00Z</cp:lastPrinted>
  <dcterms:created xsi:type="dcterms:W3CDTF">2022-03-08T07:43:00Z</dcterms:created>
  <dcterms:modified xsi:type="dcterms:W3CDTF">2022-03-08T08:21:00Z</dcterms:modified>
</cp:coreProperties>
</file>