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E43" w:rsidRPr="00053E43" w:rsidRDefault="00053E43" w:rsidP="00AF3602">
      <w:pPr>
        <w:jc w:val="center"/>
        <w:rPr>
          <w:rFonts w:ascii="Garamond" w:hAnsi="Garamond" w:cstheme="minorHAnsi"/>
          <w:b/>
          <w:sz w:val="18"/>
          <w:szCs w:val="18"/>
        </w:rPr>
      </w:pP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>
        <w:rPr>
          <w:rFonts w:ascii="Garamond" w:hAnsi="Garamond" w:cstheme="minorHAnsi"/>
          <w:b/>
          <w:sz w:val="18"/>
          <w:szCs w:val="18"/>
        </w:rPr>
        <w:tab/>
      </w:r>
      <w:r>
        <w:rPr>
          <w:rFonts w:ascii="Garamond" w:hAnsi="Garamond" w:cstheme="minorHAnsi"/>
          <w:b/>
          <w:sz w:val="18"/>
          <w:szCs w:val="18"/>
        </w:rPr>
        <w:tab/>
      </w:r>
      <w:r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>Załącznik nr 5 do SWZ</w:t>
      </w:r>
    </w:p>
    <w:p w:rsidR="00AF3602" w:rsidRPr="00FC3DD7" w:rsidRDefault="00AF3602" w:rsidP="00FC3DD7">
      <w:pPr>
        <w:spacing w:after="0"/>
        <w:jc w:val="center"/>
        <w:rPr>
          <w:rFonts w:ascii="Garamond" w:hAnsi="Garamond" w:cstheme="minorHAnsi"/>
          <w:b/>
          <w:color w:val="0070C0"/>
          <w:sz w:val="20"/>
          <w:szCs w:val="20"/>
        </w:rPr>
      </w:pPr>
      <w:r w:rsidRPr="00FC3DD7">
        <w:rPr>
          <w:rFonts w:ascii="Garamond" w:hAnsi="Garamond" w:cstheme="minorHAnsi"/>
          <w:b/>
          <w:color w:val="0070C0"/>
          <w:sz w:val="20"/>
          <w:szCs w:val="20"/>
        </w:rPr>
        <w:t>OPIS PRZEDMIOTU ZAMÓWIENIA</w:t>
      </w:r>
    </w:p>
    <w:p w:rsidR="00AF3602" w:rsidRDefault="00AF3602" w:rsidP="00FC3DD7">
      <w:pPr>
        <w:spacing w:after="0"/>
        <w:jc w:val="center"/>
        <w:rPr>
          <w:rFonts w:ascii="Garamond" w:hAnsi="Garamond" w:cstheme="minorHAnsi"/>
          <w:b/>
          <w:sz w:val="20"/>
          <w:szCs w:val="20"/>
        </w:rPr>
      </w:pPr>
      <w:r w:rsidRPr="00FC3DD7">
        <w:rPr>
          <w:rFonts w:ascii="Garamond" w:hAnsi="Garamond" w:cstheme="minorHAnsi"/>
          <w:b/>
          <w:color w:val="0070C0"/>
          <w:sz w:val="20"/>
          <w:szCs w:val="20"/>
        </w:rPr>
        <w:t>PARAMETRY TECHNICZNE</w:t>
      </w:r>
    </w:p>
    <w:p w:rsidR="00FC3DD7" w:rsidRPr="00FC3DD7" w:rsidRDefault="00FC3DD7" w:rsidP="00FC3DD7">
      <w:pPr>
        <w:spacing w:after="0"/>
        <w:jc w:val="center"/>
        <w:rPr>
          <w:rFonts w:ascii="Garamond" w:hAnsi="Garamond" w:cstheme="minorHAnsi"/>
          <w:b/>
          <w:sz w:val="20"/>
          <w:szCs w:val="20"/>
        </w:rPr>
      </w:pPr>
    </w:p>
    <w:tbl>
      <w:tblPr>
        <w:tblW w:w="5004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37"/>
        <w:gridCol w:w="7679"/>
        <w:gridCol w:w="919"/>
      </w:tblGrid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Specyfikacja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Ilość (szt.)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Serwer typ I: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2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Serwer typ II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System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10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Licencje dostępowe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550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System do wirtualizacji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Oprogramowanie do backup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Przełącznik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2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Rozbudowa istniejącego przełącznika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UPS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3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Urządzenie do monitorowania parametrów środowiskowych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Calibri" w:hAnsi="Garamond" w:cstheme="minorHAnsi"/>
                <w:b/>
                <w:kern w:val="0"/>
                <w:sz w:val="18"/>
                <w:szCs w:val="18"/>
                <w:lang w:eastAsia="en-US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Macierz do przechowywania kopii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Serwer typ I– 2 szt. Oferowany model</w:t>
      </w:r>
      <w:r w:rsidRPr="00053E43">
        <w:rPr>
          <w:rFonts w:ascii="Garamond" w:hAnsi="Garamond" w:cstheme="minorHAnsi"/>
          <w:b w:val="0"/>
          <w:bCs/>
          <w:sz w:val="18"/>
          <w:szCs w:val="18"/>
        </w:rPr>
        <w:t xml:space="preserve"> (podać typ i nazwę producenta):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47"/>
        <w:gridCol w:w="1402"/>
        <w:gridCol w:w="4043"/>
        <w:gridCol w:w="3136"/>
      </w:tblGrid>
      <w:tr w:rsidR="00AF3602" w:rsidRPr="00053E43" w:rsidTr="00FC3DD7">
        <w:trPr>
          <w:jc w:val="center"/>
        </w:trPr>
        <w:tc>
          <w:tcPr>
            <w:tcW w:w="547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402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4043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136" w:type="dxa"/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Obudowa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Maksymalnie 2U RACK 19 cali (wraz ze wszystkimi elementami niezbędnymi do zamontowania serwera, z funkcjonalnością wysuwania serwera do celów serwisowych)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Procesor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Dwa procesory szesnastordzeniowe, osiągające (z zaoferowanym serwerem) w testach SPECint_rate2006 wynik nie gorszy niż 630 punktów lub alternatywnie 165 punktów w teście SPECrate2017_int_base. Wynik testu musi być publikowany na stronie </w:t>
            </w:r>
            <w:hyperlink r:id="rId5" w:history="1">
              <w:r w:rsidRPr="00053E43">
                <w:rPr>
                  <w:rStyle w:val="Hipercze"/>
                  <w:rFonts w:ascii="Garamond" w:eastAsia="Times New Roman" w:hAnsi="Garamond" w:cstheme="minorHAnsi"/>
                  <w:sz w:val="18"/>
                  <w:szCs w:val="18"/>
                </w:rPr>
                <w:t>www.spec.org</w:t>
              </w:r>
            </w:hyperlink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563C1"/>
                <w:sz w:val="18"/>
                <w:szCs w:val="18"/>
                <w:u w:val="single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Liczba procesorów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2 (dwa)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Pamięć operacyjna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256 GB RDIMM DDR4 o częstotliwości pracy 2666MT/s, z możliwością rozbudowy do minimum 768 GB.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Na płycie głównej musi znajdować się minimum 12 niezajętych slotów przeznaczonych na pamięć RAM.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Zabezpieczenia pamięci: ECC, SDDC,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Mirrored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Channel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Mode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Lockstep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, lub technologie równoważne.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Sloty rozszerzeń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Minimum 2 sloty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PCI-Express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Generacji 3, w tym minimum jeden slot x16 (prędkość slotu – bus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width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) pełnej wysokości oraz minimum jeden slot x8 (prędkość slotu – bus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width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).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Wewnętrzna pamięć masowa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Możliwość instalacji dysków twardych typu: SATA, SAS, SSD, dostępnych w ofercie producenta serwera.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Zainstalowany dedykowany sprzętowy kontroler RAID umożliwiający konfigurację poziomów RAID co najmniej 0, 1,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10, JBOD. Wsparcie dla dysków SAS 12Gb/s pozwalające na wykorzystanie ich pełnej przepustowości.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Zainstalowane minimum dwa dyski o pojemności minimum 300 GB każdy.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Interfejsy sieciowe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Minimum dwa interfejsy sieciowe 1Gb Ethernet RJ45 w standardzie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BaseT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oraz minimum dwa interfejsy 10Gb w standardzie SFP+ (z wkładkami SFP+ SR). Wymagane powyżej interfejsy 1Gb oraz 10Gb nie mogą zajmować jakichkolwiek slotów PCI-E oraz nie mogą być realizowane poprzez dodatkowy adapter lub przejściówkę na USB.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Minimum dwa interfejsy 16Gb FC wyposażone we 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lastRenderedPageBreak/>
              <w:t xml:space="preserve">wkładki optyczne SFP+ typu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Multimode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. Dopuszcza się montaż karty FC w wymaganym slocie PCI-E. 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Interfejs komunikacyjny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FC 8Gb/10Gb dostosowana do łącza komunikacyjnego macierzy dyskowej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Karta graficzna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Zintegrowana karta graficzna z pamięcią własną minimum 16MB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Porty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3 x USB 3.0 1x DP. Wewnętrzny slot na kartę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microSD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/SD.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Zasilacz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2 szt. 750W, typ Hot-plug, redundantne, typu Platinum.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Chłodzenie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Zestaw wentylatorów redundantnych typu hot-plug. Możliwość skonfigurowania serwera do pracy w temperaturze otoczenia do 45st.C.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Zarządzanie i obsługa techniczna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Serwer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Możliwość przejęcia zdalnej konsoli graficznej i podłączania wirtualnych napędów CD/DVD/ISO i FDD.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Karta zdalnego zarządzania musi posiadać wbudowaną pamięć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flash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, minimum 4GB, w tym minimum 1GB dostępny dla użytkownika serwera. Karta zarządzania zdalnego, powinna udostępniać wbudowane narzędzie wspomagające instalację systemów operacyjnych oraz konfigurację serwera. Narzędzie dostępne z poziomu BIOS poprzez interfejs graficzny (GUI), udostępniające minimum następujące funkcjonalności: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Wspomaganą instalację systemu operacyjnego – wybór najlepszych sterowników i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firmware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Diagnostykę wszystkich elementów sprzętowych serwera.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Konfigurację kontrolera macierzowego i dysków poprzez GUI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Ustawienia parametrów BIOS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Rozwiązanie sprzętowe, niezależne od systemów operacyjnych, zintegrowane z płytą główną. Wymagana odpowiednia licencja.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Wsparcie dla Systemów Operacyjnych i Systemów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Wirtualizacyjnych</w:t>
            </w:r>
            <w:proofErr w:type="spellEnd"/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Microsoft Windows Server min. w wersji 2012;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Canonical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Ubuntu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; Red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Hat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Enterprise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Linux (RHEL); SUSE Linux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Enterprise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Server (SLES);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Vmware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;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Citrix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XenServer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; Oracle Linux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Gwarancja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 w:themeColor="text1"/>
                <w:sz w:val="18"/>
                <w:szCs w:val="18"/>
              </w:rPr>
              <w:t xml:space="preserve">Minimum 36 miesięcy 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gwarancji producenta w miejscu instalacji, 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>Wymagana jest gwarancja świadczona w trybie 24 godziny przez 7 dni w tygodniu na wszystkie elementy serwera z czasem naprawy w następnym dniu roboczym od dnia zgłoszenia.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Możliwość zgłaszania awarii poprzez linię telefoniczną producenta lub firmy serwisującej.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Dostarczone urządzenie musi być fabrycznie nowe, nie używane w żadnych projektach, </w:t>
            </w:r>
            <w:r w:rsidRPr="00053E43">
              <w:rPr>
                <w:rFonts w:ascii="Garamond" w:hAnsi="Garamond" w:cstheme="minorHAnsi"/>
                <w:color w:val="000000" w:themeColor="text1"/>
                <w:sz w:val="18"/>
                <w:szCs w:val="18"/>
              </w:rPr>
              <w:t xml:space="preserve">nie może być </w:t>
            </w:r>
            <w:proofErr w:type="spellStart"/>
            <w:r w:rsidRPr="00053E43">
              <w:rPr>
                <w:rFonts w:ascii="Garamond" w:hAnsi="Garamond" w:cstheme="minorHAnsi"/>
                <w:color w:val="000000" w:themeColor="text1"/>
                <w:sz w:val="18"/>
                <w:szCs w:val="18"/>
              </w:rPr>
              <w:t>rekondycjonowane</w:t>
            </w:r>
            <w:proofErr w:type="spellEnd"/>
            <w:r w:rsidRPr="00053E43">
              <w:rPr>
                <w:rFonts w:ascii="Garamond" w:hAnsi="Garamond" w:cstheme="minorHAnsi"/>
                <w:color w:val="000000" w:themeColor="text1"/>
                <w:sz w:val="18"/>
                <w:szCs w:val="18"/>
              </w:rPr>
              <w:t xml:space="preserve">, powystawowe, 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>wyprodukowane wcześniej niż w IV kwartale 2021 r.,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nieużywane przed dniem dostarczenia z wyłączeniem używania niezbędnego dla przeprowadzenia testu ich poprawnej pracy,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musi pochodzić z autoryzowanego kanału sprzedaży producenta i być przeznaczone na rynek Unii Europejskiej (znak CE). 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a korzystanie przez Zamawiającego z dostarczonego produktu nie może stanowić naruszenia majątkowych praw autorskich osób trzecich. </w:t>
            </w:r>
            <w:r w:rsidRPr="00053E43">
              <w:rPr>
                <w:rFonts w:ascii="Garamond" w:eastAsia="Times New Roman" w:hAnsi="Garamond" w:cstheme="minorHAnsi"/>
                <w:color w:val="000000" w:themeColor="text1"/>
                <w:sz w:val="18"/>
                <w:szCs w:val="18"/>
              </w:rPr>
              <w:t>Gwarancja realizowana przez producenta lub jego autoryzowanego partnera serwisu gwarancyjnego.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b w:val="0"/>
          <w:bCs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lastRenderedPageBreak/>
        <w:t>Serwer typ II– 1 szt. Oferowany model</w:t>
      </w:r>
      <w:r w:rsidRPr="00053E43">
        <w:rPr>
          <w:rFonts w:ascii="Garamond" w:hAnsi="Garamond" w:cstheme="minorHAnsi"/>
          <w:b w:val="0"/>
          <w:bCs/>
          <w:sz w:val="18"/>
          <w:szCs w:val="18"/>
        </w:rPr>
        <w:t xml:space="preserve"> (podać typ i nazwę producenta):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47"/>
        <w:gridCol w:w="1402"/>
        <w:gridCol w:w="5578"/>
        <w:gridCol w:w="1601"/>
      </w:tblGrid>
      <w:tr w:rsidR="00AF3602" w:rsidRPr="00053E43" w:rsidTr="00FC3DD7">
        <w:trPr>
          <w:jc w:val="center"/>
        </w:trPr>
        <w:tc>
          <w:tcPr>
            <w:tcW w:w="547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402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5578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1601" w:type="dxa"/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Obudowa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Maksymalnie 2U RACK 19 cali (wraz ze wszystkimi elementami niezbędnymi do zamontowania serwera, z funkcjonalnością wysuwania serwera do celów serwisowych)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Procesor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Jeden procesor ośmiordzeniowy, osiągający (z zaoferowanym serwerem) w testach SPECrate2017_int_base wynik nie gorszy niż 120 punktów dla układów dwuprocesorowych. Wynik testu musi być publikowany na stronie </w:t>
            </w:r>
            <w:hyperlink r:id="rId6" w:history="1">
              <w:r w:rsidRPr="00053E43">
                <w:rPr>
                  <w:rStyle w:val="Hipercze"/>
                  <w:rFonts w:ascii="Garamond" w:eastAsia="Times New Roman" w:hAnsi="Garamond" w:cstheme="minorHAnsi"/>
                  <w:sz w:val="18"/>
                  <w:szCs w:val="18"/>
                </w:rPr>
                <w:t>www.spec.org</w:t>
              </w:r>
            </w:hyperlink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Liczba procesorów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 (jeden)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Pamięć operacyjna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64 GB RDIMM DDR4 o częstotliwości pracy 2666MT/s, z możliwością rozbudowy do minimum 768 GB.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Na płycie głównej musi znajdować się minimum 9 niezajętych slotów przeznaczonych na pamięć RAM.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Zabezpieczenia pamięci: ECC, SDDC,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Mirrored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Channel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Mode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Lockstep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, lub technologie równoważne.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Sloty rozszerzeń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Minimum 2 sloty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PCI-Express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Generacji 3, w tym minimum jeden slot x16 (prędkość slotu – bus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width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) pełnej wysokości oraz minimum jeden slot x8 (prędkość slotu – bus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width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).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Wewnętrzna pamięć masowa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Możliwość instalacji dysków twardych typu: SATA, SAS, SSD, dostępnych w ofercie producenta serwera.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Zainstalowany dedykowany sprzętowy kontroler RAID umożliwiający konfigurację poziomów RAID co najmniej 0, 1, 10, JBOD. Wsparcie dla dysków SAS 12Gb/s pozwalające na wykorzystanie ich pełnej przepustowości.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Zainstalowane minimum osiem dysków o pojemności minimum 2,4 TB 10k każdy.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Interfejsy sieciowe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Minimum dwa interfejsy sieciowe 1Gb Ethernet RJ45 w standardzie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BaseT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oraz minimum dwa interfejsy 10Gb w standardzie SFP+ (z wkładkami SFP+ SR). Wymagane powyżej interfejsy 1Gb oraz 10Gb nie mogą zajmować jakichkolwiek slotów PCI-E oraz nie mogą być realizowane poprzez dodatkowy adapter lub przejściówkę na USB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Karta graficzna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Zintegrowana karta graficzna z pamięcią własną minimum 16MB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Porty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3 x USB 3.0 1x DP. Wewnętrzny slot na kartę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microSD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/SD.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Zasilacz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2 szt. 750W, typ Hot-plug, redundantne, typu Platinum.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Chłodzenie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Zestaw wentylatorów redundantnych typu hot-plug. Możliwość skonfigurowania serwera do pracy w temperaturze otoczenia do 45st.C.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Zarządzanie i obsługa techniczna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Serwer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Możliwość przejęcia zdalnej konsoli graficznej i podłączania wirtualnych napędów CD/DVD/ISO i FDD.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Karta zdalnego zarządzania musi posiadać wbudowaną pamięć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flash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, minimum 4GB, w tym minimum 1GB dostępny dla użytkownika serwera. Karta zarządzania zdalnego, powinna udostępniać wbudowane narzędzie wspomagające instalację systemów operacyjnych oraz konfigurację serwera. Narzędzie dostępne z poziomu BIOS poprzez interfejs graficzny (GUI), udostępniające minimum następujące funkcjonalności: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Wspomaganą instalację systemu operacyjnego – wybór najlepszych sterowników i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firmware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Diagnostykę wszystkich elementów sprzętowych serwera.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Konfigurację kontrolera macierzowego i dysków poprzez GUI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Ustawienia parametrów BIOS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Rozwiązanie sprzętowe, niezależne od systemów operacyjnych, zintegrowane z płytą główną. Wymagana odpowiednia licencja.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Wsparcie dla Systemów Operacyjnych i Systemów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Wirtualizacyjnych</w:t>
            </w:r>
            <w:proofErr w:type="spellEnd"/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Microsoft Windows Server min. w wersji 2012R2;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Canonical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Ubuntu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; Red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Hat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Enterprise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Linux (RHEL); SUSE Linux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Enterprise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Server (SLES);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Vmware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; Oracle Linux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Gwarancja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</w:rPr>
              <w:t xml:space="preserve">Minimum 36 miesięcy 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gwarancji producenta w miejscu instalacji,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lastRenderedPageBreak/>
              <w:t>Możliwość zgłaszania awarii poprzez linię telefoniczną producenta lub firmy serwisującej.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Dostarczone urządzenie musi być fabrycznie nowe, nie używane w żadnych projektach, </w:t>
            </w:r>
            <w:r w:rsidRPr="00053E43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nie może być </w:t>
            </w:r>
            <w:proofErr w:type="spellStart"/>
            <w:r w:rsidRPr="00053E43">
              <w:rPr>
                <w:rFonts w:ascii="Garamond" w:hAnsi="Garamond" w:cstheme="minorHAnsi"/>
                <w:color w:val="000000"/>
                <w:sz w:val="18"/>
                <w:szCs w:val="18"/>
              </w:rPr>
              <w:t>rekondycjonowane</w:t>
            </w:r>
            <w:proofErr w:type="spellEnd"/>
            <w:r w:rsidRPr="00053E43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, powystawowe, 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>wyprodukowane wcześniej niż w IV kwartale 202</w:t>
            </w:r>
            <w:r w:rsidR="00B6232C" w:rsidRPr="00053E43">
              <w:rPr>
                <w:rFonts w:ascii="Garamond" w:hAnsi="Garamond" w:cstheme="minorHAnsi"/>
                <w:sz w:val="18"/>
                <w:szCs w:val="18"/>
              </w:rPr>
              <w:t>1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r.,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nieużywane przed dniem dostarczenia z wyłączeniem używania niezbędnego dla przeprowadzenia testu ich poprawnej pracy,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musi pochodzić z autoryzowanego kanału sprzedaży producenta i być przeznaczone na rynek Unii Europejskiej (znak CE). 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a korzystanie przez Zamawiającego z dostarczonego produktu nie może stanowić naruszenia majątkowych praw autorskich osób trzecich. </w:t>
            </w: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</w:rPr>
              <w:t>Gwarancja realizowana przez producenta lub jego autoryzowanego partnera serwisu gwarancyjnego.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b w:val="0"/>
          <w:bCs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System – 10 szt. Oferowane licencje</w:t>
      </w:r>
      <w:r w:rsidRPr="00053E43">
        <w:rPr>
          <w:rFonts w:ascii="Garamond" w:hAnsi="Garamond" w:cstheme="minorHAnsi"/>
          <w:b w:val="0"/>
          <w:bCs/>
          <w:sz w:val="18"/>
          <w:szCs w:val="18"/>
        </w:rPr>
        <w:t xml:space="preserve"> (podać typ i nazwę producenta):</w:t>
      </w:r>
    </w:p>
    <w:tbl>
      <w:tblPr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37"/>
        <w:gridCol w:w="1086"/>
        <w:gridCol w:w="4170"/>
        <w:gridCol w:w="3135"/>
      </w:tblGrid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ind w:left="785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System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Windows Serwer Standard 2019 lub równoważny</w:t>
            </w:r>
            <w:r w:rsidR="00BA3820"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(załącznik)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ind w:left="785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Warunki Licencji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BA382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Określenie licencji bezterminowa i bez ograniczeń Zamawiający ma na myśli dostarczenie licencji, które nie będą ograniczone czasowo i nie wygasną po zakończeniu trwania umowy.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ind w:left="785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Zamawiający nie wymaga kodu źródłowego oprogramowania.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b w:val="0"/>
          <w:bCs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Licencje dostępowe – 550 szt. Oferowane licencje</w:t>
      </w:r>
      <w:r w:rsidRPr="00053E43">
        <w:rPr>
          <w:rFonts w:ascii="Garamond" w:hAnsi="Garamond" w:cstheme="minorHAnsi"/>
          <w:b w:val="0"/>
          <w:bCs/>
          <w:sz w:val="18"/>
          <w:szCs w:val="18"/>
        </w:rPr>
        <w:t xml:space="preserve"> (podać typ i nazwę producenta):</w:t>
      </w:r>
    </w:p>
    <w:tbl>
      <w:tblPr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37"/>
        <w:gridCol w:w="1086"/>
        <w:gridCol w:w="4170"/>
        <w:gridCol w:w="3135"/>
      </w:tblGrid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Licencje dostępowe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BA3820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Zamawiający wymaga 550 szt. licencji dostępowych zgodnych z proponowanym systemem (rodzaj licencji obejmujący logowanie przez komputer)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5"/>
              </w:numPr>
              <w:suppressAutoHyphens w:val="0"/>
              <w:spacing w:after="0" w:line="240" w:lineRule="auto"/>
              <w:ind w:left="785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Warunki Licencji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BA382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Określenie licencji bezterminowa i bez ograniczeń Zamawiający ma na myśli dostarczenie licencji, które nie będą ograniczone czasowo i nie wygasną po zakończeniu trwania umowy.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5"/>
              </w:numPr>
              <w:suppressAutoHyphens w:val="0"/>
              <w:spacing w:after="0" w:line="240" w:lineRule="auto"/>
              <w:ind w:left="785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Zamawiający nie wymaga kodu źródłowego oprogramowania.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suppressAutoHyphens w:val="0"/>
        <w:spacing w:after="0" w:line="240" w:lineRule="auto"/>
        <w:rPr>
          <w:rFonts w:ascii="Garamond" w:eastAsia="Times New Roman" w:hAnsi="Garamond" w:cstheme="minorHAnsi"/>
          <w:kern w:val="0"/>
          <w:sz w:val="18"/>
          <w:szCs w:val="18"/>
          <w:lang w:eastAsia="pl-PL"/>
        </w:rPr>
      </w:pPr>
      <w:r w:rsidRPr="00053E43"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  <w:t>System do wirtualizacji</w:t>
      </w:r>
      <w:r w:rsidRPr="00053E43">
        <w:rPr>
          <w:rFonts w:ascii="Garamond" w:hAnsi="Garamond" w:cstheme="minorHAnsi"/>
          <w:sz w:val="18"/>
          <w:szCs w:val="18"/>
        </w:rPr>
        <w:t xml:space="preserve"> – 1 szt. Oferowany model</w:t>
      </w:r>
      <w:r w:rsidRPr="00053E43">
        <w:rPr>
          <w:rFonts w:ascii="Garamond" w:hAnsi="Garamond" w:cstheme="minorHAnsi"/>
          <w:bCs/>
          <w:sz w:val="18"/>
          <w:szCs w:val="18"/>
        </w:rPr>
        <w:t xml:space="preserve"> (podać typ i nazwę producenta):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58"/>
        <w:gridCol w:w="5218"/>
        <w:gridCol w:w="2952"/>
      </w:tblGrid>
      <w:tr w:rsidR="00AF3602" w:rsidRPr="00053E43" w:rsidTr="00FC3DD7">
        <w:trPr>
          <w:jc w:val="center"/>
        </w:trPr>
        <w:tc>
          <w:tcPr>
            <w:tcW w:w="958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218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2952" w:type="dxa"/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000000" w:fill="FFF2CC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5218" w:type="dxa"/>
            <w:shd w:val="clear" w:color="000000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Wymagane parametry techniczne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Warstwa wirtualizacji jest zainstalowana bezpośrednio na sprzęcie fizycznym bez dodatkowych pośredniczących systemów operacyjnych.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Licencje obejmuje trzy dwuprocesorowe serwery.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Oprogramowanie do wirtualizacji zainstalowane na serwerze fizycznym potrafi obsłużyć i wykorzystać procesory fizyczne wyposażone łącznie w 32 rdzenie oraz 3GB pamięci fizycznej RAM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eastAsia="Lucida Sans Unicode" w:hAnsi="Garamond" w:cstheme="minorHAnsi"/>
                <w:kern w:val="1"/>
                <w:sz w:val="18"/>
                <w:szCs w:val="18"/>
                <w:lang w:eastAsia="ar-SA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Rozwiązanie zapewnia możliwość obsługi wielu instancji systemów operacyjnych na jednym serwerze fizycznym i charakteryzuje się maksymalnym możliwym stopniem konsolidacji sprzętowej.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Oprogramowanie do wirtualizacji zapewnia możliwość skonfigurowania maszyn wirtualnych 1-8 procesorowych.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Oprogramowanie do wirtualizacji zapewnia możliwość skonfigurowania maszyn wirtualnych z możliwością przydzielenia do 1 TB pamięci operacyjnej RAM.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eastAsia="Lucida Sans Unicode" w:hAnsi="Garamond" w:cstheme="minorHAnsi"/>
                <w:kern w:val="1"/>
                <w:sz w:val="18"/>
                <w:szCs w:val="18"/>
                <w:lang w:eastAsia="ar-SA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Oprogramowanie do wirtualizacji zapewnia możliwość skonfigurowania maszyn wirtualnych, z których każda może mieć 1-10 wirtualnych kart sieciowych. 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eastAsia="Lucida Sans Unicode" w:hAnsi="Garamond" w:cstheme="minorHAnsi"/>
                <w:kern w:val="1"/>
                <w:sz w:val="18"/>
                <w:szCs w:val="18"/>
                <w:lang w:eastAsia="ar-SA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Rozwiązanie umożliwia łatwą i szybką rozbudowę infrastruktury o nowe </w:t>
            </w: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lastRenderedPageBreak/>
              <w:t>usługi bez spadku wydajności i dostępności pozostałych wybranych usług.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eastAsia="Lucida Sans Unicode" w:hAnsi="Garamond" w:cstheme="minorHAnsi"/>
                <w:kern w:val="1"/>
                <w:sz w:val="18"/>
                <w:szCs w:val="18"/>
                <w:lang w:eastAsia="ar-SA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Rozwiązanie w możliwie największym stopniu jest niezależne od producenta platformy sprzętowej.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Polityka licencjonowania umożliwia przenoszenie licencji na oprogramowanie do wirtualizacji pomiędzy serwerami różnych producentów z zachowaniem wsparcia technicznego i zmianą wersji oprogramowania na niższą (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downgrade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). Licencjonowanie nie odbywa się w trybie OEM.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Rozwiązanie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wspiera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następujące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systemy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operacyjne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: Windows Server 2008, Windows Server 2012, Windows 7, Windows 8, SLES 11, SLES 10, RHEL 5, RHEL 4, Debian, CentOS, FreeBSD.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Rozwiązanie umożliwia przydzielenie większej ilości pamięci RAM dla maszyn wirtualnych niż fizyczne zasoby RAM serwera w celu osiągnięcia maksymalnego współczynnika konsolidacji (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memory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overcommitment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).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Rozwiązanie umożliwia udostępnienie maszynie wirtualnej większej ilości zasobów dyskowych niż jest fizycznie zarezerwowane na dyskach lokalnych serwera lub na macierzy (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thin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provisioning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).</w:t>
            </w:r>
          </w:p>
        </w:tc>
        <w:tc>
          <w:tcPr>
            <w:tcW w:w="2952" w:type="dxa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eastAsia="Lucida Sans Unicode" w:hAnsi="Garamond" w:cstheme="minorHAnsi"/>
                <w:kern w:val="1"/>
                <w:sz w:val="18"/>
                <w:szCs w:val="18"/>
                <w:lang w:eastAsia="ar-SA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Rozwiązanie posiada centralną konsolę graficzną do zarządzania maszynami wirtualnymi i do konfigurowania innych funkcjonalności. Centralna konsola graficzna ma możliwość działania jako gotowa, wstępnie skonfigurowana maszyna wirtualna tzw.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virtual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appliance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. Zamawiający wymaga dostarczenia centralnej konsoli dla każdej 1 szt. oprogramowania do wirtualizacji.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Rozwiązanie zapewnia możliwość bieżącego monitorowania wykorzystania zasobów fizycznych infrastruktury wirtualnej (np. wykorzystanie procesorów, pamięci RAM, wykorzystanie przestrzeni na dyskach/wolumenach) oraz przechowuje i wyświetla dane maksymalnie sprzed roku. 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eastAsia="Lucida Sans Unicode" w:hAnsi="Garamond" w:cstheme="minorHAnsi"/>
          <w:b w:val="0"/>
          <w:kern w:val="1"/>
          <w:sz w:val="18"/>
          <w:szCs w:val="18"/>
          <w:lang w:eastAsia="ar-SA"/>
        </w:rPr>
      </w:pPr>
      <w:r w:rsidRPr="00053E43">
        <w:rPr>
          <w:rFonts w:ascii="Garamond" w:hAnsi="Garamond" w:cstheme="minorHAnsi"/>
          <w:sz w:val="18"/>
          <w:szCs w:val="18"/>
        </w:rPr>
        <w:t xml:space="preserve">Oprogramowanie do backup – 1 szt. </w:t>
      </w:r>
      <w:r w:rsidRPr="00053E43">
        <w:rPr>
          <w:rFonts w:ascii="Garamond" w:eastAsia="Lucida Sans Unicode" w:hAnsi="Garamond" w:cstheme="minorHAnsi"/>
          <w:b w:val="0"/>
          <w:kern w:val="1"/>
          <w:sz w:val="18"/>
          <w:szCs w:val="18"/>
          <w:lang w:eastAsia="ar-SA"/>
        </w:rPr>
        <w:t>Oferowany model (podać typ i nazwę producenta):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562"/>
        <w:gridCol w:w="1418"/>
        <w:gridCol w:w="5447"/>
        <w:gridCol w:w="1701"/>
      </w:tblGrid>
      <w:tr w:rsidR="00AF3602" w:rsidRPr="00053E43" w:rsidTr="00744463">
        <w:tc>
          <w:tcPr>
            <w:tcW w:w="562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bookmarkStart w:id="0" w:name="_Hlk94511046"/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418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0" w:type="auto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Wymagane parametry techniczne</w:t>
            </w:r>
          </w:p>
        </w:tc>
        <w:tc>
          <w:tcPr>
            <w:tcW w:w="1701" w:type="dxa"/>
            <w:shd w:val="clear" w:color="000000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744463">
        <w:tc>
          <w:tcPr>
            <w:tcW w:w="562" w:type="dxa"/>
            <w:vMerge w:val="restar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Wymagania ogólne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współpracować z oprogramowaniem do wirtualizacji dostarczonym przez wykonawcę w ramach zamówienia 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zapewniać tworzenie kopii zapasowych wszystkich systemów operacyjnych maszyn wirtualnych wspieranych przez oprogramowanie do wirtualizacji dostarczone przez wykonawcę zamówienia 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BE6BA9">
        <w:tc>
          <w:tcPr>
            <w:tcW w:w="562" w:type="dxa"/>
            <w:vMerge w:val="restar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być licencjonowanie w modelu “per-CPU”. Wszystkie funkcjonalności zawarte w tym dokumencie powinny być zapewnione w tej licencji. Jakiekolwiek dodatkowe licencjonowanie (per zabezpieczony TB, dodatkowo płatna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deduplikacja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) nie jest dozwolone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być niezależne sprzętowo i umożliwiać wykorzystanie dowolnej platformy serwerowej i dyskowej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tworzyć “samowystarczalne” archiwa do odzyskania których nie wymagana jest osobna baza danych z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metadanymi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deduplikowanych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bloków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zapewniać backup jednoprzebiegowy - nawet w przypadku wymagania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granularnego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odtworzenia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zapewniać mechanizmy informowania o wykonaniu/</w:t>
            </w:r>
            <w:r w:rsidR="00480FFD" w:rsidRPr="00053E43">
              <w:rPr>
                <w:rFonts w:ascii="Garamond" w:eastAsia="Times New Roman" w:hAnsi="Garamond" w:cstheme="minorHAnsi"/>
                <w:sz w:val="18"/>
                <w:szCs w:val="18"/>
              </w:rPr>
              <w:t>błędzie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zadania poprzez email lub SNMP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mieć możliwość uruchamiania dowolnych skryptów przed i po zadaniu backupowym lub przed i po wykonaniu zadania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snapshota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oferować portal </w:t>
            </w:r>
            <w:r w:rsidR="00480FFD" w:rsidRPr="00053E43">
              <w:rPr>
                <w:rFonts w:ascii="Garamond" w:eastAsia="Times New Roman" w:hAnsi="Garamond" w:cstheme="minorHAnsi"/>
                <w:sz w:val="18"/>
                <w:szCs w:val="18"/>
              </w:rPr>
              <w:t>samoobsługowy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, umożliwiający odtwarzanie użytkownikom wirtualnych maszyn, (w tym odtwarzanie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point-in-time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mieć wbudowane mechanizmy backupu konfiguracji w celu prostego odtworzenia systemu po całkowitej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reinstalacji</w:t>
            </w:r>
            <w:proofErr w:type="spellEnd"/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mieć wbudowane mechanizmy szyfrowania zarówno plików z backupami jak i transmisji sieciowej. Włączenie szyfrowania nie może skutkować utratą jakiejkolwiek funkcjonalności wymienionej w tej specyfikacji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oferować zarządzanie kluczami w przypadku utraty podstawowego klucza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wspierać backup maszyn </w:t>
            </w:r>
            <w:r w:rsidR="00480FFD" w:rsidRPr="00053E43">
              <w:rPr>
                <w:rFonts w:ascii="Garamond" w:eastAsia="Times New Roman" w:hAnsi="Garamond" w:cstheme="minorHAnsi"/>
                <w:sz w:val="18"/>
                <w:szCs w:val="18"/>
              </w:rPr>
              <w:t>wirtualnych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używających </w:t>
            </w:r>
            <w:r w:rsidR="00480FFD" w:rsidRPr="00053E43">
              <w:rPr>
                <w:rFonts w:ascii="Garamond" w:eastAsia="Times New Roman" w:hAnsi="Garamond" w:cstheme="minorHAnsi"/>
                <w:sz w:val="18"/>
                <w:szCs w:val="18"/>
              </w:rPr>
              <w:t>współdzielonych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dysków.)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posiadać architekturę klient/serwer z możliwością instalacji wielu instancji konsoli administracyjnych.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wykorzystywać mechanizmy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Change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Block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Tracking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na wszystkich wspieranych platformach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wirtualizacyjnych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. Mechanizmy muszą być certyfikowane przez dostawcę platformy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wirtualizacyjnej</w:t>
            </w:r>
            <w:proofErr w:type="spellEnd"/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wspierać kopiowanie backupów na taśmy wraz z pełnym śledzeniem wirtualnych maszyn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mieć możliwość wydzielenia osobnej roli typu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tape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server</w:t>
            </w:r>
            <w:proofErr w:type="spellEnd"/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mieć możliwość kopiowania backupów do lokalizacji zdalnej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mieć możliwość tworzenia retencji GFS (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Grandfather-Father-Son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pozwalać na migrację on-line tak uruchomionych maszyn na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storage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produkcyjny. Migracja powinna odbywać się mechanizmami wbudowanymi w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hypervisor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. </w:t>
            </w:r>
            <w:r w:rsidR="003D13F4" w:rsidRPr="00053E43">
              <w:rPr>
                <w:rFonts w:ascii="Garamond" w:eastAsia="Times New Roman" w:hAnsi="Garamond" w:cstheme="minorHAnsi"/>
                <w:sz w:val="18"/>
                <w:szCs w:val="18"/>
              </w:rPr>
              <w:t>Jeżeli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licencja na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hypervisor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nie posiada takich funkcjonalności - oprogramowanie musi realizować jakąś migrację swoimi mechanizmami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umożliwiać pełne odtworzenie wirtualnej maszyny, plików konfiguracji i dysków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wspierać odtwarzanie plików z następujących systemów plików: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Linux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ext2, ext3, ext4,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ReiserFS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(Reiser3), JFS, XFS,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Btrfs</w:t>
            </w:r>
            <w:proofErr w:type="spellEnd"/>
          </w:p>
        </w:tc>
        <w:tc>
          <w:tcPr>
            <w:tcW w:w="1701" w:type="dxa"/>
          </w:tcPr>
          <w:p w:rsidR="00AF3602" w:rsidRPr="00053E43" w:rsidRDefault="00AF3602" w:rsidP="00744463">
            <w:p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HFS, HFS+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Windows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NTFS, FAT, FAT32,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ReFS</w:t>
            </w:r>
            <w:proofErr w:type="spellEnd"/>
          </w:p>
        </w:tc>
        <w:tc>
          <w:tcPr>
            <w:tcW w:w="1701" w:type="dxa"/>
          </w:tcPr>
          <w:p w:rsidR="00AF3602" w:rsidRPr="00053E43" w:rsidRDefault="00AF3602" w:rsidP="00744463">
            <w:p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wspierać przywracanie plików z partycji Linux LVM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wspierać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granularne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odtwarzanie baz danych Oracle z opcją odtwarzanie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point-in-time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. Funkcjonalność ta musi być dostępna dla baz uruchomionych w środowiskach Windows oraz Linux.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Funkcjonalność ta nie może wymagać pełnego odtworzenia wirtualnej maszyny ani jej uruchomienia.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indeksować pliki Windows i Linux w celu szybkiego wyszukiwania plików w plikach backupowych.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używać mechanizmów VSS wbudowanych w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system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operacyjny Microsoft Windows 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wspierać także specyficzne metody odtwarzania w tym "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reverse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CBT" oraz odtwarzanie z wykorzystaniem sieci SAN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Wparcie producenta oprogramowania na okres 36 miesięcy zapewniające dostęp do aktualizacji oprogramowania oraz zgłaszanie problemów technicznych do wsparcia producenta 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bookmarkEnd w:id="0"/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  <w:t>Przełącznik – 2 szt.</w:t>
      </w:r>
      <w:r w:rsidRPr="00053E43">
        <w:rPr>
          <w:rFonts w:ascii="Garamond" w:hAnsi="Garamond" w:cstheme="minorHAnsi"/>
          <w:sz w:val="18"/>
          <w:szCs w:val="18"/>
        </w:rPr>
        <w:t xml:space="preserve"> Oferowany model (podać typ i nazwę producenta):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524"/>
        <w:gridCol w:w="7115"/>
        <w:gridCol w:w="1573"/>
      </w:tblGrid>
      <w:tr w:rsidR="00AF3602" w:rsidRPr="00053E43" w:rsidTr="00744463">
        <w:trPr>
          <w:jc w:val="center"/>
        </w:trPr>
        <w:tc>
          <w:tcPr>
            <w:tcW w:w="284" w:type="pct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862" w:type="pct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Wymagane parametry techniczne</w:t>
            </w:r>
          </w:p>
        </w:tc>
        <w:tc>
          <w:tcPr>
            <w:tcW w:w="854" w:type="pct"/>
            <w:shd w:val="clear" w:color="000000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Minimum 24 porty 10/100/1000BaseT 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Minimum 4 porty 10Gb SFP+, z czego dwa obsadzone wkładką działającą w standardzie 10GBase LR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Automatyczne wykrywanie przeplotu (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AutoMDIX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) na portach 100/1000BaseT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Wydajność przełączania co najmniej 128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Gbps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oraz przepustowości 95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Mpps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dla pakietów 64 bajtowych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Obsługa 4094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tagów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IEEE 802.1Q oraz minimum 512 jednoczesnych sieci VLAN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Funkcja automatycznego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provisioningu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i konfiguracji przełącznika przy jego pierwszym podłączeniu do sieci bez konieczności wykonywania wstępnej, ręcznej konfiguracji 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Wsparcie dla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Energy-efficient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Ethernet (EEE) IEEE 802.3az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Bufor pakietów nie mniejszy niż 3MB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Minimum 128MB pamięci Flash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Dostęp do urządzenia przez konsolę szeregową (linia komend umożliwiająca pełne zarządzanie </w:t>
            </w: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lastRenderedPageBreak/>
              <w:t xml:space="preserve">przełącznikiem), HTTPS, SSHv2 i SNMPv3 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Obsługa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Rapid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Spanning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Tree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(802.1w) i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Multiple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Spanning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Tree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(802.1s)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Obsługa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Secure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FTP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Obsługa 802.3ad Link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Aggregation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Protocol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(LACP)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Obsługa Simple Network Time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Protocol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(SNTP) v4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Wielkość tablicy adresów MAC: minimum 16000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Obsługa LLDP i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LLDP-MED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Mechanizmy związane z zapewnieniem jakości usług w sieci: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prioryteryzacja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zgodna z 802.1p,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ToS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, TCP/UDP,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DiffServ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wsparcie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dla 4 kolejek sprzętowych,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rate-limiting</w:t>
            </w:r>
            <w:proofErr w:type="spellEnd"/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Możliwość autoryzacji użytkowników zgodna z 802.1x 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Możliwość autoryzacji logowania do urządzenia za pomocą serwerów RADIUS albo TACACS+,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Ochrona przed rekonfiguracją struktury topologii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Spanning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Tree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(BPDU port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protection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Obsługa list kontroli dostępu (ACL)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Obsługa protokołu TR-069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Obsługa grupowania portów w jeden kanał logiczny zgodnie z LACP (802.3ad)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Obudowa wieżowa 1U umożliwiająca instalację w szafie 19" o głębokości nie większej niż 26 cm.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Maksymalny pobór mocy nie większy niż 60W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Minimalny zakres pracy od 0°C do 45°C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Wszystkie urządzenia muszą pochodzić z oficjalnego kanału dystrybucji producenta. Zamawiający zastrzega sobie prawo do sprawdzenia legalności dostawy bezpośrednio u polskiego przedstawiciela producenta w szczególności ważności i zakresu uprawnień licencyjnych oraz gwarancyjnych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Producent musi posiadać w ofercie jednorodny system zarządzania pozwalający na konfigurację, zarządzanie i monitoring wszystkimi wyspecyfikowanymi urządzeniami. 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Dostarczone urządzenie musi być fabrycznie nowe, nieużywane w żadnych projektach, </w:t>
            </w:r>
            <w:r w:rsidRPr="00053E43">
              <w:rPr>
                <w:rFonts w:ascii="Garamond" w:hAnsi="Garamond" w:cstheme="minorHAnsi"/>
                <w:color w:val="000000" w:themeColor="text1"/>
                <w:sz w:val="18"/>
                <w:szCs w:val="18"/>
              </w:rPr>
              <w:t xml:space="preserve">nie może być </w:t>
            </w:r>
            <w:proofErr w:type="spellStart"/>
            <w:r w:rsidRPr="00053E43">
              <w:rPr>
                <w:rFonts w:ascii="Garamond" w:hAnsi="Garamond" w:cstheme="minorHAnsi"/>
                <w:color w:val="000000" w:themeColor="text1"/>
                <w:sz w:val="18"/>
                <w:szCs w:val="18"/>
              </w:rPr>
              <w:t>rekondycjonowane</w:t>
            </w:r>
            <w:proofErr w:type="spellEnd"/>
            <w:r w:rsidRPr="00053E43">
              <w:rPr>
                <w:rFonts w:ascii="Garamond" w:hAnsi="Garamond" w:cstheme="minorHAnsi"/>
                <w:color w:val="000000" w:themeColor="text1"/>
                <w:sz w:val="18"/>
                <w:szCs w:val="18"/>
              </w:rPr>
              <w:t xml:space="preserve">, powystawowe, 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>wyprodukowane wcześniej niż w IV kwartale 2021 r.,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nieużywane przed dniem dostarczenia z wyłączeniem używania niezbędnego dla przeprowadzenia testu ich poprawnej pracy,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musi pochodzić z autoryzowanego kanału sprzedaży producenta i być przeznaczone na rynek Unii Europejskiej (znak CE).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284" w:type="pc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0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3862" w:type="pct"/>
            <w:shd w:val="clear" w:color="auto" w:fill="auto"/>
            <w:vAlign w:val="center"/>
          </w:tcPr>
          <w:p w:rsidR="00AF3602" w:rsidRPr="00053E43" w:rsidRDefault="00BE6BA9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Gwarancja </w:t>
            </w:r>
            <w:r w:rsidR="00AF3602"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36 miesięcy</w:t>
            </w:r>
          </w:p>
        </w:tc>
        <w:tc>
          <w:tcPr>
            <w:tcW w:w="854" w:type="pct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Standard"/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</w:pPr>
      <w:r w:rsidRPr="00053E43"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  <w:t>Rozbudowa istniejącego przełącznika HPE 5400Rzl2</w:t>
      </w:r>
    </w:p>
    <w:p w:rsidR="00AF3602" w:rsidRPr="00053E43" w:rsidRDefault="00AF3602" w:rsidP="00AF3602">
      <w:pPr>
        <w:spacing w:after="0" w:line="240" w:lineRule="auto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Aruba 8p 1G/10GbE SFP+ v3 zl2 </w:t>
      </w:r>
      <w:proofErr w:type="spellStart"/>
      <w:r w:rsidRPr="00053E43">
        <w:rPr>
          <w:rFonts w:ascii="Garamond" w:hAnsi="Garamond" w:cstheme="minorHAnsi"/>
          <w:sz w:val="18"/>
          <w:szCs w:val="18"/>
        </w:rPr>
        <w:t>Mod</w:t>
      </w:r>
      <w:proofErr w:type="spellEnd"/>
      <w:r w:rsidRPr="00053E43">
        <w:rPr>
          <w:rFonts w:ascii="Garamond" w:hAnsi="Garamond" w:cstheme="minorHAnsi"/>
          <w:sz w:val="18"/>
          <w:szCs w:val="18"/>
        </w:rPr>
        <w:t xml:space="preserve"> - 1 szt.</w:t>
      </w:r>
    </w:p>
    <w:p w:rsidR="00AF3602" w:rsidRPr="00053E43" w:rsidRDefault="00AF3602" w:rsidP="00AF3602">
      <w:pPr>
        <w:spacing w:after="0" w:line="240" w:lineRule="auto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Wkładka działając</w:t>
      </w:r>
      <w:r w:rsidR="00BE6BA9" w:rsidRPr="00053E43">
        <w:rPr>
          <w:rFonts w:ascii="Garamond" w:hAnsi="Garamond" w:cstheme="minorHAnsi"/>
          <w:sz w:val="18"/>
          <w:szCs w:val="18"/>
        </w:rPr>
        <w:t>a</w:t>
      </w:r>
      <w:r w:rsidRPr="00053E43">
        <w:rPr>
          <w:rFonts w:ascii="Garamond" w:hAnsi="Garamond" w:cstheme="minorHAnsi"/>
          <w:sz w:val="18"/>
          <w:szCs w:val="18"/>
        </w:rPr>
        <w:t xml:space="preserve"> w standardzie 10GBase LR – 4 szt.</w:t>
      </w:r>
    </w:p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b w:val="0"/>
          <w:bCs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UPS – 3 szt. </w:t>
      </w:r>
      <w:r w:rsidRPr="00053E43">
        <w:rPr>
          <w:rFonts w:ascii="Garamond" w:eastAsia="Lucida Sans Unicode" w:hAnsi="Garamond" w:cstheme="minorHAnsi"/>
          <w:b w:val="0"/>
          <w:kern w:val="1"/>
          <w:sz w:val="18"/>
          <w:szCs w:val="18"/>
          <w:lang w:eastAsia="ar-SA"/>
        </w:rPr>
        <w:t>Oferowany model (podać typ i nazwę producenta):</w:t>
      </w:r>
      <w:r w:rsidRPr="00053E43">
        <w:rPr>
          <w:rFonts w:ascii="Garamond" w:hAnsi="Garamond" w:cstheme="minorHAnsi"/>
          <w:b w:val="0"/>
          <w:bCs/>
          <w:sz w:val="18"/>
          <w:szCs w:val="18"/>
        </w:rPr>
        <w:t xml:space="preserve">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573"/>
        <w:gridCol w:w="1428"/>
        <w:gridCol w:w="6130"/>
        <w:gridCol w:w="997"/>
      </w:tblGrid>
      <w:tr w:rsidR="00AF3602" w:rsidRPr="00053E43" w:rsidTr="00FC3DD7">
        <w:trPr>
          <w:jc w:val="center"/>
        </w:trPr>
        <w:tc>
          <w:tcPr>
            <w:tcW w:w="573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428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6130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Wymagane parametry techniczne</w:t>
            </w:r>
          </w:p>
        </w:tc>
        <w:tc>
          <w:tcPr>
            <w:tcW w:w="997" w:type="dxa"/>
            <w:shd w:val="clear" w:color="000000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Klasa produktu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UPS - zasilacz awaryjny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Moc pozorna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3000 VA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Moc rzeczywista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2700 Wat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Architektura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UPSa</w:t>
            </w:r>
            <w:proofErr w:type="spellEnd"/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on-line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 double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conversion</w:t>
            </w:r>
            <w:proofErr w:type="spellEnd"/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Liczba i rodzaj gniazdek z utrzymaniem zasilania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8 x IEC320 C13 (10A)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Czas podtrzymania dla obciążenia 100%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3 min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Sinus podczas pracy na baterii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Porty komunikacji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RJ-45 Serial, USB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 w:val="restar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 w:val="restart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Diody sygnalizacyjne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Wyświetlacz LCD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praca z baterii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Wskaźnik obciążenia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Awaria akumulatora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Karta sieciowa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Typ obudowy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Rack</w:t>
            </w:r>
            <w:proofErr w:type="spellEnd"/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 w:val="restar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 w:val="restart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Wyposażenie standardowe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Instrukcja obsługi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oprogramowanie na CD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Kabel USB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Sprzęt do montażu urządzeń w szafie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Dołączone oprogramowanie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Dedykowane do zarządzania UPS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Gwarancja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36 miesięcy. 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Dostarczone urządzenie musi być fabrycznie nowe, nieużywane w żadnych projektach, nie może być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rekondycjonowane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, powystawowe, wyprodukowane wcześniej 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lastRenderedPageBreak/>
              <w:t>niż w IV kwartale 2021 r.,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nieużywane przed dniem dostarczenia z wyłączeniem używania niezbędnego dla przeprowadzenia testu ich poprawnej pracy,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musi pochodzić z autoryzowanego kanału sprzedaży producenta i być przeznaczone na rynek Unii Europejskiej (znak CE).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</w:tbl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Standard"/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</w:pPr>
      <w:r w:rsidRPr="00053E43"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  <w:t xml:space="preserve">Urządzenie do monitorowania parametrów środowiskowych 1 szt. </w:t>
      </w:r>
      <w:r w:rsidRPr="00053E43">
        <w:rPr>
          <w:rFonts w:ascii="Garamond" w:eastAsia="Lucida Sans Unicode" w:hAnsi="Garamond" w:cstheme="minorHAnsi"/>
          <w:b/>
          <w:kern w:val="1"/>
          <w:sz w:val="18"/>
          <w:szCs w:val="18"/>
          <w:lang w:eastAsia="ar-SA"/>
        </w:rPr>
        <w:t>Oferowany model</w:t>
      </w:r>
      <w:r w:rsidRPr="00053E43">
        <w:rPr>
          <w:rFonts w:ascii="Garamond" w:eastAsia="Lucida Sans Unicode" w:hAnsi="Garamond" w:cstheme="minorHAnsi"/>
          <w:kern w:val="1"/>
          <w:sz w:val="18"/>
          <w:szCs w:val="18"/>
          <w:lang w:eastAsia="ar-SA"/>
        </w:rPr>
        <w:t xml:space="preserve"> (podać typ i nazwę producenta):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573"/>
        <w:gridCol w:w="1428"/>
        <w:gridCol w:w="6130"/>
        <w:gridCol w:w="997"/>
      </w:tblGrid>
      <w:tr w:rsidR="00AF3602" w:rsidRPr="00053E43" w:rsidTr="00FC3DD7">
        <w:trPr>
          <w:jc w:val="center"/>
        </w:trPr>
        <w:tc>
          <w:tcPr>
            <w:tcW w:w="573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428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6130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Wymagane parametry techniczne</w:t>
            </w:r>
          </w:p>
        </w:tc>
        <w:tc>
          <w:tcPr>
            <w:tcW w:w="997" w:type="dxa"/>
            <w:shd w:val="clear" w:color="000000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Monitoring IP - 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Web, SNMP, SMS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Interfejs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Dostęp za pomocą przeglądarki internetowej 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LAN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Ethernet 10/100Mbit 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Protokoły sieciowe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Wbudowany serwer HTTP, agent SNMP, aktualizacja oprogramowania za pomocą FTP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Powiadomienia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FTP,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Syslog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, SMTP lub SNMP, SMS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Wejście analogowe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8x6P4C do podłączenia 8 czujników analogowych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Wejście CAN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1x6P6C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Wyposażenie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Czujnik dymu, wilgotności i temperatury</w:t>
            </w:r>
            <w:r w:rsidR="00F8609C"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, czujnik zasilania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Wyposażenie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Czujnik zalania, kabel detekcyjny.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Gwarancja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24 miesiące. 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</w:tbl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Standard"/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</w:pPr>
      <w:r w:rsidRPr="00053E43"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  <w:t xml:space="preserve">Macierz do przechowywania kopii 1 szt. </w:t>
      </w:r>
      <w:r w:rsidRPr="00053E43">
        <w:rPr>
          <w:rFonts w:ascii="Garamond" w:eastAsia="Lucida Sans Unicode" w:hAnsi="Garamond" w:cstheme="minorHAnsi"/>
          <w:b/>
          <w:kern w:val="1"/>
          <w:sz w:val="18"/>
          <w:szCs w:val="18"/>
          <w:lang w:eastAsia="ar-SA"/>
        </w:rPr>
        <w:t>Oferowany model</w:t>
      </w:r>
      <w:r w:rsidRPr="00053E43">
        <w:rPr>
          <w:rFonts w:ascii="Garamond" w:eastAsia="Lucida Sans Unicode" w:hAnsi="Garamond" w:cstheme="minorHAnsi"/>
          <w:kern w:val="1"/>
          <w:sz w:val="18"/>
          <w:szCs w:val="18"/>
          <w:lang w:eastAsia="ar-SA"/>
        </w:rPr>
        <w:t xml:space="preserve"> (podać typ i nazwę producenta):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67"/>
        <w:gridCol w:w="6860"/>
        <w:gridCol w:w="1701"/>
      </w:tblGrid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minimalne parametry techniczne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Procesor 6 rdzeniowy min. 2.2 GHZ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Pamięć systemowa min. 8 GB DDR4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Możliwość rozbudowy pamięci do 64 GB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12 kieszeni na dyski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Możliwość rozbudowy do 36 kieszeni na dyski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Obsługiwane typy dysków 3.5" SATA HDD, 2.5", 2.5" SATA SSD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Zainstalowane 10 dysków o minimalnej pojemności 10TB każdy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Skonfigurowany RAID 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Możliwość rozszerzenia z wykorzystaniem jednostki rozszerzającej do 200 TB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Możliwość wymiany dysku podczas pracy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Porty zewnętrzne 4x LAN RJ-45 1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GbE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z obsługą agregacji łącza , 2x USB 3.0, 2xgniazdo rozszerzeń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Obsługiwany system plików (dyski wewnętrzne)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Btrfs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>, EXT4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Obsługiwany system plików (dyski zewnętrzne)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Btrfs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, EXT4, EXT3, FAT, NTFS, HFS+,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exFAT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Wyposażenie pozwalające na montaż w szafie RACK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Zajętość szafy 2U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Możliwość wymiany wentylatora obudowy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Obsługiwane macierze RAID: RAID F1, Basic, JBOD, RAID 0, RAID 1, RAID 5, RAID 6, RAID 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Maksymalna liczba jednoczesnych połączeń protokołu CIFS/AFP/FTP min 2000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Minimalna liczba lokalnych kont użytkownika 1600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Minimalna liczba lokalnych grup 512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Minimalna liczba folderów udostępnionych 512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Minimalna liczba zadań synchronizacji folderów udostępnionych 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Wirtualizacja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VMware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vSphere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, Windows Server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Obsługiwane protokoły sieciowe SMB1 (CIFS), SMB2, SMB3, NFSv3, NFS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Kerberized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sessions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,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iSCSI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, HTTP, HTTPs, FTP, SNMP, LDAP,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CalDAV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Obsługiwane przeglądarki Chrome,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Firefox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>, Internet Explorer, EDGE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Gwarancja 36 miesięcy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FC3DD7" w:rsidRDefault="00FC3DD7">
      <w:pPr>
        <w:suppressAutoHyphens w:val="0"/>
        <w:spacing w:after="160" w:line="259" w:lineRule="auto"/>
        <w:rPr>
          <w:rFonts w:ascii="Garamond" w:eastAsia="Calibri" w:hAnsi="Garamond" w:cstheme="minorHAnsi"/>
          <w:b/>
          <w:kern w:val="0"/>
          <w:lang w:eastAsia="en-US"/>
        </w:rPr>
      </w:pPr>
      <w:r>
        <w:rPr>
          <w:rFonts w:ascii="Garamond" w:eastAsia="Calibri" w:hAnsi="Garamond" w:cstheme="minorHAnsi"/>
          <w:b/>
          <w:kern w:val="0"/>
          <w:lang w:eastAsia="en-US"/>
        </w:rPr>
        <w:br w:type="page"/>
      </w:r>
    </w:p>
    <w:p w:rsidR="00AF3602" w:rsidRPr="00FC3DD7" w:rsidRDefault="00FC3DD7" w:rsidP="00FC3DD7">
      <w:pPr>
        <w:pStyle w:val="Nagwek3"/>
        <w:spacing w:before="0"/>
        <w:ind w:left="454"/>
        <w:jc w:val="center"/>
        <w:rPr>
          <w:rFonts w:ascii="Garamond" w:eastAsia="Calibri" w:hAnsi="Garamond" w:cstheme="minorHAnsi"/>
          <w:b/>
          <w:color w:val="0070C0"/>
          <w:kern w:val="0"/>
          <w:sz w:val="22"/>
          <w:szCs w:val="22"/>
          <w:lang w:eastAsia="en-US"/>
        </w:rPr>
      </w:pPr>
      <w:r w:rsidRPr="00FC3DD7">
        <w:rPr>
          <w:rFonts w:ascii="Garamond" w:eastAsia="Calibri" w:hAnsi="Garamond" w:cstheme="minorHAnsi"/>
          <w:b/>
          <w:color w:val="0070C0"/>
          <w:kern w:val="0"/>
          <w:sz w:val="22"/>
          <w:szCs w:val="22"/>
          <w:lang w:eastAsia="en-US"/>
        </w:rPr>
        <w:lastRenderedPageBreak/>
        <w:t>SZCZEGÓŁOWY OPIS WDROŻENIA PLATFORM SERWEROWYCH</w:t>
      </w:r>
    </w:p>
    <w:p w:rsidR="00FC3DD7" w:rsidRDefault="00FC3DD7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Dostawa elementów sprzętowych oraz oprogramowania zgodnie z zamówieniem:</w:t>
      </w:r>
    </w:p>
    <w:p w:rsidR="00AF3602" w:rsidRPr="00053E43" w:rsidRDefault="00AF3602" w:rsidP="00FC3DD7">
      <w:pPr>
        <w:numPr>
          <w:ilvl w:val="1"/>
          <w:numId w:val="1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Odbiór ilościowy i jakościowy</w:t>
      </w:r>
    </w:p>
    <w:p w:rsidR="00AF3602" w:rsidRPr="00053E43" w:rsidRDefault="00AF3602" w:rsidP="00FC3DD7">
      <w:pPr>
        <w:numPr>
          <w:ilvl w:val="1"/>
          <w:numId w:val="1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systemów operacyjnych i konfiguracja stacji roboczych według wymagań Zamawiającego</w:t>
      </w:r>
    </w:p>
    <w:p w:rsidR="00FC3DD7" w:rsidRDefault="00FC3DD7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 konfiguracja infrastruktury sprzętowej:</w:t>
      </w:r>
    </w:p>
    <w:p w:rsidR="00AF3602" w:rsidRPr="00053E43" w:rsidRDefault="00AF3602" w:rsidP="00FC3DD7">
      <w:pPr>
        <w:numPr>
          <w:ilvl w:val="1"/>
          <w:numId w:val="17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 konfiguracja platformy serwerowej</w:t>
      </w:r>
    </w:p>
    <w:p w:rsidR="00AF3602" w:rsidRPr="00053E43" w:rsidRDefault="00AF3602" w:rsidP="00FC3DD7">
      <w:pPr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 w:val="0"/>
        <w:spacing w:after="0"/>
        <w:ind w:left="1843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Montaż serwera we wskazanym miejscu przez zamawiającego</w:t>
      </w:r>
    </w:p>
    <w:p w:rsidR="00AF3602" w:rsidRPr="00053E43" w:rsidRDefault="00AF3602" w:rsidP="00FC3DD7">
      <w:pPr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 w:val="0"/>
        <w:spacing w:after="0"/>
        <w:ind w:left="1843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Aktualizacja oprogramowania wewnętrznego serwerów</w:t>
      </w:r>
    </w:p>
    <w:p w:rsidR="00FC3DD7" w:rsidRDefault="00FC3DD7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 konfiguracja serwerów wirtualnych:</w:t>
      </w:r>
    </w:p>
    <w:p w:rsidR="00AF3602" w:rsidRPr="00053E43" w:rsidRDefault="00AF3602" w:rsidP="00FC3DD7">
      <w:pPr>
        <w:numPr>
          <w:ilvl w:val="1"/>
          <w:numId w:val="19"/>
        </w:numPr>
        <w:overflowPunct w:val="0"/>
        <w:spacing w:after="0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Instalacja i konfiguracja serwera na którym będzie uruchomione środowisko </w:t>
      </w:r>
      <w:proofErr w:type="spellStart"/>
      <w:r w:rsidRPr="00053E43">
        <w:rPr>
          <w:rFonts w:ascii="Garamond" w:hAnsi="Garamond" w:cstheme="minorHAnsi"/>
          <w:sz w:val="18"/>
          <w:szCs w:val="18"/>
        </w:rPr>
        <w:t>hyperwizora</w:t>
      </w:r>
      <w:proofErr w:type="spellEnd"/>
    </w:p>
    <w:p w:rsidR="00AF3602" w:rsidRPr="00053E43" w:rsidRDefault="00AF3602" w:rsidP="00FC3DD7">
      <w:pPr>
        <w:numPr>
          <w:ilvl w:val="1"/>
          <w:numId w:val="19"/>
        </w:numPr>
        <w:overflowPunct w:val="0"/>
        <w:spacing w:after="0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Uruchomienie serwerów wirtualnych (platforma fizyczna) wraz z konfiguracją niezbędnych usług dodatkowych</w:t>
      </w:r>
      <w:r w:rsidR="00C20EB4" w:rsidRPr="00053E43">
        <w:rPr>
          <w:rFonts w:ascii="Garamond" w:hAnsi="Garamond" w:cstheme="minorHAnsi"/>
          <w:sz w:val="18"/>
          <w:szCs w:val="18"/>
        </w:rPr>
        <w:t>.</w:t>
      </w:r>
    </w:p>
    <w:p w:rsidR="00FC3DD7" w:rsidRDefault="00FC3DD7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Budowa środowiska maszyn wirtualnych:</w:t>
      </w:r>
    </w:p>
    <w:p w:rsidR="00AF3602" w:rsidRPr="00053E43" w:rsidRDefault="00AF3602" w:rsidP="00FC3DD7">
      <w:pPr>
        <w:numPr>
          <w:ilvl w:val="1"/>
          <w:numId w:val="20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Przeprowadzenie migracji wskazanych maszyn za pomocą narzędzi do konwersji (ilość systemów podlegających konwersji zostanie ustalona na poziomie definiowania uzgodnień przedwdrożeniowych)</w:t>
      </w:r>
    </w:p>
    <w:p w:rsidR="00AF3602" w:rsidRPr="00053E43" w:rsidRDefault="00AF3602" w:rsidP="00FC3DD7">
      <w:pPr>
        <w:numPr>
          <w:ilvl w:val="1"/>
          <w:numId w:val="20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Budowa maszyn wirtualnych dla systemów nie podlegających migracji za pomocą narzędzia do konwersji</w:t>
      </w:r>
    </w:p>
    <w:p w:rsidR="00AF3602" w:rsidRPr="00053E43" w:rsidRDefault="00AF3602" w:rsidP="00FC3DD7">
      <w:pPr>
        <w:numPr>
          <w:ilvl w:val="1"/>
          <w:numId w:val="20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Testy i strojenie wydajnościowe</w:t>
      </w:r>
    </w:p>
    <w:p w:rsidR="00FC3DD7" w:rsidRDefault="00FC3DD7" w:rsidP="00FC3DD7">
      <w:pPr>
        <w:spacing w:after="0"/>
        <w:ind w:firstLine="708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firstLine="708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 konfiguracja systemu backupu/archiwizacji:</w:t>
      </w:r>
    </w:p>
    <w:p w:rsidR="00AF3602" w:rsidRPr="00053E43" w:rsidRDefault="00AF3602" w:rsidP="00FC3DD7">
      <w:pPr>
        <w:numPr>
          <w:ilvl w:val="1"/>
          <w:numId w:val="21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 konfiguracja systemu backupu</w:t>
      </w:r>
    </w:p>
    <w:p w:rsidR="00AF3602" w:rsidRPr="00053E43" w:rsidRDefault="00AF3602" w:rsidP="00FC3DD7">
      <w:pPr>
        <w:numPr>
          <w:ilvl w:val="1"/>
          <w:numId w:val="21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Przeprowadzanie testów backupu</w:t>
      </w:r>
    </w:p>
    <w:p w:rsidR="00C20EB4" w:rsidRPr="00053E43" w:rsidRDefault="00AF3602" w:rsidP="00FC3DD7">
      <w:pPr>
        <w:numPr>
          <w:ilvl w:val="1"/>
          <w:numId w:val="21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Przeprowadzenie testów odtworzeniowych</w:t>
      </w:r>
    </w:p>
    <w:p w:rsidR="00FC3DD7" w:rsidRDefault="00FC3DD7" w:rsidP="00FC3DD7">
      <w:pPr>
        <w:spacing w:after="0"/>
        <w:ind w:left="720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720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Budowa środowiska usługi katalogowej</w:t>
      </w:r>
    </w:p>
    <w:p w:rsidR="00AF3602" w:rsidRPr="00053E43" w:rsidRDefault="00AF3602" w:rsidP="00FC3DD7">
      <w:pPr>
        <w:numPr>
          <w:ilvl w:val="1"/>
          <w:numId w:val="22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infrastruktury usługi katalogowej - instalacja serwera, aktualizacja, instalacja roli</w:t>
      </w:r>
    </w:p>
    <w:p w:rsidR="00AF3602" w:rsidRPr="00053E43" w:rsidRDefault="00C20EB4" w:rsidP="00FC3DD7">
      <w:pPr>
        <w:numPr>
          <w:ilvl w:val="1"/>
          <w:numId w:val="22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Przeniesienie </w:t>
      </w:r>
      <w:r w:rsidR="00C52E66" w:rsidRPr="00053E43">
        <w:rPr>
          <w:rFonts w:ascii="Garamond" w:hAnsi="Garamond" w:cstheme="minorHAnsi"/>
          <w:sz w:val="18"/>
          <w:szCs w:val="18"/>
        </w:rPr>
        <w:t xml:space="preserve">istniejących </w:t>
      </w:r>
      <w:r w:rsidRPr="00053E43">
        <w:rPr>
          <w:rFonts w:ascii="Garamond" w:hAnsi="Garamond" w:cstheme="minorHAnsi"/>
          <w:sz w:val="18"/>
          <w:szCs w:val="18"/>
        </w:rPr>
        <w:t>p</w:t>
      </w:r>
      <w:r w:rsidR="00AF3602" w:rsidRPr="00053E43">
        <w:rPr>
          <w:rFonts w:ascii="Garamond" w:hAnsi="Garamond" w:cstheme="minorHAnsi"/>
          <w:sz w:val="18"/>
          <w:szCs w:val="18"/>
        </w:rPr>
        <w:t>olis GPO</w:t>
      </w:r>
      <w:r w:rsidRPr="00053E43">
        <w:rPr>
          <w:rFonts w:ascii="Garamond" w:hAnsi="Garamond" w:cstheme="minorHAnsi"/>
          <w:sz w:val="18"/>
          <w:szCs w:val="18"/>
        </w:rPr>
        <w:t xml:space="preserve"> do nowego środowiska</w:t>
      </w:r>
    </w:p>
    <w:p w:rsidR="00FC3DD7" w:rsidRDefault="00FC3DD7" w:rsidP="00FC3DD7">
      <w:pPr>
        <w:spacing w:after="0"/>
        <w:ind w:left="720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720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Migracja istniejących systemów jednostki do nowej platformy (wymagane jest wsparcie producenta lub autoryzowanego partnera przy migracji)</w:t>
      </w:r>
      <w:r w:rsidR="009A535F" w:rsidRPr="00053E43">
        <w:rPr>
          <w:rFonts w:ascii="Garamond" w:hAnsi="Garamond" w:cstheme="minorHAnsi"/>
          <w:sz w:val="18"/>
          <w:szCs w:val="18"/>
        </w:rPr>
        <w:t>:</w:t>
      </w:r>
    </w:p>
    <w:p w:rsidR="00AF3602" w:rsidRPr="00053E43" w:rsidRDefault="00C20EB4" w:rsidP="00FC3DD7">
      <w:pPr>
        <w:numPr>
          <w:ilvl w:val="1"/>
          <w:numId w:val="2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ZSIMED</w:t>
      </w:r>
      <w:r w:rsidR="00AF3602" w:rsidRPr="00053E43">
        <w:rPr>
          <w:rFonts w:ascii="Garamond" w:hAnsi="Garamond" w:cstheme="minorHAnsi"/>
          <w:sz w:val="18"/>
          <w:szCs w:val="18"/>
        </w:rPr>
        <w:t xml:space="preserve"> firmy KAMSOFT</w:t>
      </w:r>
      <w:r w:rsidRPr="00053E43">
        <w:rPr>
          <w:rFonts w:ascii="Garamond" w:hAnsi="Garamond" w:cstheme="minorHAnsi"/>
          <w:sz w:val="18"/>
          <w:szCs w:val="18"/>
        </w:rPr>
        <w:t xml:space="preserve"> S.A.</w:t>
      </w:r>
    </w:p>
    <w:p w:rsidR="00AF3602" w:rsidRPr="00053E43" w:rsidRDefault="00AF3602" w:rsidP="00FC3DD7">
      <w:pPr>
        <w:numPr>
          <w:ilvl w:val="1"/>
          <w:numId w:val="2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Obchód lekarski firmy KAMSOFT</w:t>
      </w:r>
      <w:r w:rsidR="00C20EB4" w:rsidRPr="00053E43">
        <w:rPr>
          <w:rFonts w:ascii="Garamond" w:hAnsi="Garamond" w:cstheme="minorHAnsi"/>
          <w:sz w:val="18"/>
          <w:szCs w:val="18"/>
        </w:rPr>
        <w:t xml:space="preserve"> S.A.</w:t>
      </w:r>
    </w:p>
    <w:p w:rsidR="00AF3602" w:rsidRPr="00053E43" w:rsidRDefault="00C20EB4" w:rsidP="00FC3DD7">
      <w:pPr>
        <w:numPr>
          <w:ilvl w:val="1"/>
          <w:numId w:val="2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Usługa </w:t>
      </w:r>
      <w:r w:rsidR="00AF3602" w:rsidRPr="00053E43">
        <w:rPr>
          <w:rFonts w:ascii="Garamond" w:hAnsi="Garamond" w:cstheme="minorHAnsi"/>
          <w:sz w:val="18"/>
          <w:szCs w:val="18"/>
        </w:rPr>
        <w:t>H</w:t>
      </w:r>
      <w:r w:rsidRPr="00053E43">
        <w:rPr>
          <w:rFonts w:ascii="Garamond" w:hAnsi="Garamond" w:cstheme="minorHAnsi"/>
          <w:sz w:val="18"/>
          <w:szCs w:val="18"/>
        </w:rPr>
        <w:t>L</w:t>
      </w:r>
      <w:r w:rsidR="00AF3602" w:rsidRPr="00053E43">
        <w:rPr>
          <w:rFonts w:ascii="Garamond" w:hAnsi="Garamond" w:cstheme="minorHAnsi"/>
          <w:sz w:val="18"/>
          <w:szCs w:val="18"/>
        </w:rPr>
        <w:t>7 firmy KAMSOFT</w:t>
      </w:r>
      <w:r w:rsidRPr="00053E43">
        <w:rPr>
          <w:rFonts w:ascii="Garamond" w:hAnsi="Garamond" w:cstheme="minorHAnsi"/>
          <w:sz w:val="18"/>
          <w:szCs w:val="18"/>
        </w:rPr>
        <w:t xml:space="preserve"> S.A.</w:t>
      </w:r>
    </w:p>
    <w:p w:rsidR="00AF3602" w:rsidRPr="00053E43" w:rsidRDefault="00AF3602" w:rsidP="00FC3DD7">
      <w:pPr>
        <w:numPr>
          <w:ilvl w:val="1"/>
          <w:numId w:val="2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Usługi </w:t>
      </w:r>
      <w:r w:rsidR="00BE22FD" w:rsidRPr="00053E43">
        <w:rPr>
          <w:rFonts w:ascii="Garamond" w:hAnsi="Garamond" w:cstheme="minorHAnsi"/>
          <w:sz w:val="18"/>
          <w:szCs w:val="18"/>
        </w:rPr>
        <w:t>firmy KAMSOFT S.A.</w:t>
      </w:r>
      <w:r w:rsidRPr="00053E43">
        <w:rPr>
          <w:rFonts w:ascii="Garamond" w:hAnsi="Garamond" w:cstheme="minorHAnsi"/>
          <w:sz w:val="18"/>
          <w:szCs w:val="18"/>
        </w:rPr>
        <w:t xml:space="preserve"> do obsługi </w:t>
      </w:r>
      <w:r w:rsidR="00C20EB4" w:rsidRPr="00053E43">
        <w:rPr>
          <w:rFonts w:ascii="Garamond" w:hAnsi="Garamond" w:cstheme="minorHAnsi"/>
          <w:sz w:val="18"/>
          <w:szCs w:val="18"/>
        </w:rPr>
        <w:t xml:space="preserve">posiadanego przez Zamawiającego systemu kolejkowego firmy </w:t>
      </w:r>
      <w:r w:rsidR="00335F39" w:rsidRPr="00053E43">
        <w:rPr>
          <w:rFonts w:ascii="Garamond" w:hAnsi="Garamond" w:cstheme="minorHAnsi"/>
          <w:sz w:val="18"/>
          <w:szCs w:val="18"/>
        </w:rPr>
        <w:t>INFOBOX</w:t>
      </w:r>
      <w:r w:rsidR="00BE22FD" w:rsidRPr="00053E43">
        <w:rPr>
          <w:rFonts w:ascii="Garamond" w:hAnsi="Garamond" w:cstheme="minorHAnsi"/>
          <w:sz w:val="18"/>
          <w:szCs w:val="18"/>
        </w:rPr>
        <w:t xml:space="preserve"> zintegrowanego z systemem firmy KAMSOFT S.A.</w:t>
      </w:r>
    </w:p>
    <w:p w:rsidR="00C20EB4" w:rsidRPr="00053E43" w:rsidRDefault="00C20EB4" w:rsidP="00FC3DD7">
      <w:pPr>
        <w:numPr>
          <w:ilvl w:val="1"/>
          <w:numId w:val="2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proofErr w:type="spellStart"/>
      <w:r w:rsidRPr="00053E43">
        <w:rPr>
          <w:rFonts w:ascii="Garamond" w:hAnsi="Garamond" w:cstheme="minorHAnsi"/>
          <w:sz w:val="18"/>
          <w:szCs w:val="18"/>
        </w:rPr>
        <w:t>ZSIRep</w:t>
      </w:r>
      <w:proofErr w:type="spellEnd"/>
      <w:r w:rsidRPr="00053E43">
        <w:rPr>
          <w:rFonts w:ascii="Garamond" w:hAnsi="Garamond" w:cstheme="minorHAnsi"/>
          <w:sz w:val="18"/>
          <w:szCs w:val="18"/>
        </w:rPr>
        <w:t xml:space="preserve"> firmy KAMSOFT S.A. – instalacja, przeniesienie bazy danych, plików, konfiguracji</w:t>
      </w:r>
    </w:p>
    <w:p w:rsidR="00AF3602" w:rsidRPr="00053E43" w:rsidRDefault="00AF3602" w:rsidP="00FC3DD7">
      <w:pPr>
        <w:spacing w:after="0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pStyle w:val="Standard"/>
        <w:spacing w:line="276" w:lineRule="auto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pStyle w:val="Standard"/>
        <w:spacing w:line="276" w:lineRule="auto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  <w:t>………………………………………….</w:t>
      </w:r>
    </w:p>
    <w:p w:rsidR="00AF3602" w:rsidRPr="00053E43" w:rsidRDefault="00AF3602" w:rsidP="00FC3DD7">
      <w:pPr>
        <w:pStyle w:val="Standard"/>
        <w:shd w:val="clear" w:color="auto" w:fill="FFFFFF"/>
        <w:spacing w:line="276" w:lineRule="auto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  <w:t>( podpis i pieczęć osoby uprawnionej do reprezentowania Wykonawcy)</w:t>
      </w:r>
      <w:r w:rsidRPr="00053E43">
        <w:rPr>
          <w:rFonts w:ascii="Garamond" w:hAnsi="Garamond" w:cstheme="minorHAnsi"/>
          <w:sz w:val="18"/>
          <w:szCs w:val="18"/>
        </w:rPr>
        <w:tab/>
      </w:r>
    </w:p>
    <w:p w:rsidR="000B2D3E" w:rsidRPr="00053E43" w:rsidRDefault="000B2D3E" w:rsidP="00FC3DD7">
      <w:pPr>
        <w:spacing w:after="0"/>
        <w:rPr>
          <w:rFonts w:ascii="Garamond" w:hAnsi="Garamond" w:cstheme="minorHAnsi"/>
          <w:sz w:val="18"/>
          <w:szCs w:val="18"/>
        </w:rPr>
      </w:pPr>
    </w:p>
    <w:sectPr w:rsidR="000B2D3E" w:rsidRPr="00053E43" w:rsidSect="00C806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23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0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7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4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1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9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6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3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060" w:hanging="360"/>
      </w:pPr>
      <w:rPr>
        <w:rFonts w:ascii="Wingdings" w:hAnsi="Wingdings" w:cs="Wingdings"/>
      </w:rPr>
    </w:lvl>
  </w:abstractNum>
  <w:abstractNum w:abstractNumId="4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ahom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24073B4"/>
    <w:multiLevelType w:val="hybridMultilevel"/>
    <w:tmpl w:val="311C5B1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043D43AA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1B16490F"/>
    <w:multiLevelType w:val="multilevel"/>
    <w:tmpl w:val="7E8C24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2">
    <w:nsid w:val="1E433988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208B35A4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22F27CF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98D5205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2B383544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2D9274FE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2FC2D83"/>
    <w:multiLevelType w:val="multilevel"/>
    <w:tmpl w:val="E84C69A6"/>
    <w:name w:val="WW8Num1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9">
    <w:nsid w:val="45CF4B6A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30A7DC5"/>
    <w:multiLevelType w:val="hybridMultilevel"/>
    <w:tmpl w:val="C94CE346"/>
    <w:lvl w:ilvl="0" w:tplc="A0DED4D0">
      <w:start w:val="1"/>
      <w:numFmt w:val="upperLetter"/>
      <w:pStyle w:val="NumerPunkt"/>
      <w:lvlText w:val="%1."/>
      <w:lvlJc w:val="left"/>
      <w:pPr>
        <w:ind w:left="720" w:hanging="360"/>
      </w:pPr>
    </w:lvl>
    <w:lvl w:ilvl="1" w:tplc="83BAD4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681641"/>
    <w:multiLevelType w:val="hybridMultilevel"/>
    <w:tmpl w:val="311C5B1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DD45D01"/>
    <w:multiLevelType w:val="hybridMultilevel"/>
    <w:tmpl w:val="311C5B1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9F53C1E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759B021D"/>
    <w:multiLevelType w:val="hybridMultilevel"/>
    <w:tmpl w:val="862CD4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CD7FC2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2"/>
  </w:num>
  <w:num w:numId="2">
    <w:abstractNumId w:val="20"/>
  </w:num>
  <w:num w:numId="3">
    <w:abstractNumId w:val="16"/>
  </w:num>
  <w:num w:numId="4">
    <w:abstractNumId w:val="23"/>
  </w:num>
  <w:num w:numId="5">
    <w:abstractNumId w:val="15"/>
  </w:num>
  <w:num w:numId="6">
    <w:abstractNumId w:val="13"/>
  </w:num>
  <w:num w:numId="7">
    <w:abstractNumId w:val="17"/>
  </w:num>
  <w:num w:numId="8">
    <w:abstractNumId w:val="11"/>
  </w:num>
  <w:num w:numId="9">
    <w:abstractNumId w:val="0"/>
  </w:num>
  <w:num w:numId="10">
    <w:abstractNumId w:val="19"/>
  </w:num>
  <w:num w:numId="11">
    <w:abstractNumId w:val="25"/>
  </w:num>
  <w:num w:numId="12">
    <w:abstractNumId w:val="22"/>
  </w:num>
  <w:num w:numId="13">
    <w:abstractNumId w:val="24"/>
  </w:num>
  <w:num w:numId="14">
    <w:abstractNumId w:val="10"/>
  </w:num>
  <w:num w:numId="15">
    <w:abstractNumId w:val="14"/>
  </w:num>
  <w:num w:numId="16">
    <w:abstractNumId w:val="1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7"/>
  </w:num>
  <w:num w:numId="23">
    <w:abstractNumId w:val="8"/>
  </w:num>
  <w:num w:numId="24">
    <w:abstractNumId w:val="9"/>
  </w:num>
  <w:num w:numId="25">
    <w:abstractNumId w:val="21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92F9E"/>
    <w:rsid w:val="00022235"/>
    <w:rsid w:val="00053E43"/>
    <w:rsid w:val="00091D5F"/>
    <w:rsid w:val="000B2D3E"/>
    <w:rsid w:val="000E3E5E"/>
    <w:rsid w:val="00174A93"/>
    <w:rsid w:val="00192F9E"/>
    <w:rsid w:val="002137BA"/>
    <w:rsid w:val="00232D6E"/>
    <w:rsid w:val="00246324"/>
    <w:rsid w:val="002870CB"/>
    <w:rsid w:val="00335F39"/>
    <w:rsid w:val="00396062"/>
    <w:rsid w:val="003D13F4"/>
    <w:rsid w:val="003D230E"/>
    <w:rsid w:val="00480FFD"/>
    <w:rsid w:val="004958E6"/>
    <w:rsid w:val="005557E5"/>
    <w:rsid w:val="006533D4"/>
    <w:rsid w:val="006558C5"/>
    <w:rsid w:val="00675336"/>
    <w:rsid w:val="007656D3"/>
    <w:rsid w:val="00771998"/>
    <w:rsid w:val="007C2B0C"/>
    <w:rsid w:val="007E47A7"/>
    <w:rsid w:val="00853D4D"/>
    <w:rsid w:val="00893A61"/>
    <w:rsid w:val="008D209D"/>
    <w:rsid w:val="008F280C"/>
    <w:rsid w:val="009405F2"/>
    <w:rsid w:val="00994F0C"/>
    <w:rsid w:val="009A535F"/>
    <w:rsid w:val="00A2108C"/>
    <w:rsid w:val="00A379F5"/>
    <w:rsid w:val="00A7568A"/>
    <w:rsid w:val="00AD2A54"/>
    <w:rsid w:val="00AD7B0F"/>
    <w:rsid w:val="00AF3602"/>
    <w:rsid w:val="00B6232C"/>
    <w:rsid w:val="00B71F3A"/>
    <w:rsid w:val="00B86C15"/>
    <w:rsid w:val="00BA3820"/>
    <w:rsid w:val="00BB1D64"/>
    <w:rsid w:val="00BE22FD"/>
    <w:rsid w:val="00BE6BA9"/>
    <w:rsid w:val="00BF42A7"/>
    <w:rsid w:val="00C1059F"/>
    <w:rsid w:val="00C11A60"/>
    <w:rsid w:val="00C20EB4"/>
    <w:rsid w:val="00C52E66"/>
    <w:rsid w:val="00CA679A"/>
    <w:rsid w:val="00CB1346"/>
    <w:rsid w:val="00CC48A3"/>
    <w:rsid w:val="00CC7EE9"/>
    <w:rsid w:val="00D65C76"/>
    <w:rsid w:val="00E051AE"/>
    <w:rsid w:val="00E070BF"/>
    <w:rsid w:val="00F742B8"/>
    <w:rsid w:val="00F8609C"/>
    <w:rsid w:val="00FC3DD7"/>
    <w:rsid w:val="00FD2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8C5"/>
    <w:pPr>
      <w:suppressAutoHyphens/>
      <w:spacing w:after="200" w:line="276" w:lineRule="auto"/>
    </w:pPr>
    <w:rPr>
      <w:rFonts w:ascii="Calibri" w:eastAsia="Lucida Sans Unicode" w:hAnsi="Calibri" w:cs="font291"/>
      <w:kern w:val="1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36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aliases w:val="F4"/>
    <w:basedOn w:val="Normalny"/>
    <w:next w:val="Normalny"/>
    <w:link w:val="Nagwek4Znak"/>
    <w:uiPriority w:val="99"/>
    <w:qFormat/>
    <w:rsid w:val="00AF3602"/>
    <w:pPr>
      <w:keepNext/>
      <w:keepLines/>
      <w:tabs>
        <w:tab w:val="num" w:pos="0"/>
      </w:tabs>
      <w:spacing w:after="100" w:afterAutospacing="1" w:line="360" w:lineRule="auto"/>
      <w:ind w:left="864" w:hanging="864"/>
      <w:outlineLvl w:val="3"/>
    </w:pPr>
    <w:rPr>
      <w:rFonts w:ascii="Tahoma" w:eastAsia="Calibri" w:hAnsi="Tahoma" w:cs="Calibri"/>
      <w:b/>
      <w:bCs/>
      <w:iCs/>
      <w:kern w:val="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Obiekt,List Paragraph1,Bulleted list,List Paragraph,Akapit z listą BS,Kolorowa lista — akcent 11,sw tekst,Numerowanie,L1,lp1,Preambuła,Colorful Shading - Accent 31,Light List - Accent 51,Akapit z listą5"/>
    <w:basedOn w:val="Normalny"/>
    <w:link w:val="AkapitzlistZnak"/>
    <w:uiPriority w:val="34"/>
    <w:qFormat/>
    <w:rsid w:val="006558C5"/>
    <w:pPr>
      <w:ind w:left="720"/>
      <w:contextualSpacing/>
    </w:pPr>
  </w:style>
  <w:style w:type="character" w:customStyle="1" w:styleId="AkapitzlistZnak">
    <w:name w:val="Akapit z listą Znak"/>
    <w:aliases w:val="Obiekt Znak,List Paragraph1 Znak,Bulleted list Znak,List Paragraph Znak,Akapit z listą BS Znak,Kolorowa lista — akcent 11 Znak,sw tekst Znak,Numerowanie Znak,L1 Znak,lp1 Znak,Preambuła Znak,Colorful Shading - Accent 31 Znak"/>
    <w:link w:val="Akapitzlist"/>
    <w:uiPriority w:val="34"/>
    <w:qFormat/>
    <w:locked/>
    <w:rsid w:val="006558C5"/>
    <w:rPr>
      <w:rFonts w:ascii="Calibri" w:eastAsia="Lucida Sans Unicode" w:hAnsi="Calibri" w:cs="font291"/>
      <w:kern w:val="1"/>
      <w:lang w:eastAsia="ar-SA"/>
    </w:rPr>
  </w:style>
  <w:style w:type="paragraph" w:customStyle="1" w:styleId="NumerPunkt">
    <w:name w:val="NumerPunkt"/>
    <w:basedOn w:val="Normalny"/>
    <w:link w:val="NumerPunktZnak"/>
    <w:qFormat/>
    <w:rsid w:val="006558C5"/>
    <w:pPr>
      <w:numPr>
        <w:numId w:val="2"/>
      </w:numPr>
      <w:suppressAutoHyphens w:val="0"/>
      <w:spacing w:before="120" w:after="0" w:line="240" w:lineRule="auto"/>
    </w:pPr>
    <w:rPr>
      <w:rFonts w:eastAsia="Calibri" w:cs="Times New Roman"/>
      <w:b/>
      <w:kern w:val="0"/>
      <w:lang w:eastAsia="en-US"/>
    </w:rPr>
  </w:style>
  <w:style w:type="character" w:customStyle="1" w:styleId="NumerPunktZnak">
    <w:name w:val="NumerPunkt Znak"/>
    <w:link w:val="NumerPunkt"/>
    <w:rsid w:val="006558C5"/>
    <w:rPr>
      <w:rFonts w:ascii="Calibri" w:eastAsia="Calibri" w:hAnsi="Calibri" w:cs="Times New Roman"/>
      <w:b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3602"/>
    <w:rPr>
      <w:rFonts w:asciiTheme="majorHAnsi" w:eastAsiaTheme="majorEastAsia" w:hAnsiTheme="majorHAnsi" w:cstheme="majorBidi"/>
      <w:color w:val="1F3763" w:themeColor="accent1" w:themeShade="7F"/>
      <w:kern w:val="1"/>
      <w:sz w:val="24"/>
      <w:szCs w:val="24"/>
      <w:lang w:eastAsia="ar-SA"/>
    </w:rPr>
  </w:style>
  <w:style w:type="character" w:customStyle="1" w:styleId="Nagwek4Znak">
    <w:name w:val="Nagłówek 4 Znak"/>
    <w:aliases w:val="F4 Znak"/>
    <w:basedOn w:val="Domylnaczcionkaakapitu"/>
    <w:link w:val="Nagwek4"/>
    <w:uiPriority w:val="99"/>
    <w:rsid w:val="00AF3602"/>
    <w:rPr>
      <w:rFonts w:ascii="Tahoma" w:eastAsia="Calibri" w:hAnsi="Tahoma" w:cs="Calibri"/>
      <w:b/>
      <w:bCs/>
      <w:iCs/>
      <w:lang w:eastAsia="zh-CN"/>
    </w:rPr>
  </w:style>
  <w:style w:type="character" w:styleId="Hipercze">
    <w:name w:val="Hyperlink"/>
    <w:uiPriority w:val="99"/>
    <w:unhideWhenUsed/>
    <w:rsid w:val="00AF3602"/>
    <w:rPr>
      <w:color w:val="0563C1"/>
      <w:u w:val="single"/>
    </w:rPr>
  </w:style>
  <w:style w:type="character" w:styleId="UyteHipercze">
    <w:name w:val="FollowedHyperlink"/>
    <w:uiPriority w:val="99"/>
    <w:semiHidden/>
    <w:unhideWhenUsed/>
    <w:rsid w:val="00AF3602"/>
    <w:rPr>
      <w:color w:val="954F72"/>
      <w:u w:val="single"/>
    </w:rPr>
  </w:style>
  <w:style w:type="paragraph" w:styleId="Bezodstpw">
    <w:name w:val="No Spacing"/>
    <w:uiPriority w:val="1"/>
    <w:qFormat/>
    <w:rsid w:val="00AF360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AF36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character" w:customStyle="1" w:styleId="Domylnaczcionkaakapitu1">
    <w:name w:val="Domyślna czcionka akapitu1"/>
    <w:rsid w:val="00AF3602"/>
  </w:style>
  <w:style w:type="character" w:customStyle="1" w:styleId="TekstdymkaZnak">
    <w:name w:val="Tekst dymka Znak"/>
    <w:basedOn w:val="Domylnaczcionkaakapitu1"/>
    <w:uiPriority w:val="99"/>
    <w:rsid w:val="00AF3602"/>
  </w:style>
  <w:style w:type="paragraph" w:customStyle="1" w:styleId="Podpis1">
    <w:name w:val="Podpis1"/>
    <w:basedOn w:val="Normalny"/>
    <w:rsid w:val="00AF36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AF3602"/>
    <w:pPr>
      <w:suppressLineNumbers/>
    </w:pPr>
    <w:rPr>
      <w:rFonts w:cs="Tahoma"/>
    </w:rPr>
  </w:style>
  <w:style w:type="character" w:customStyle="1" w:styleId="WW8Num1z8">
    <w:name w:val="WW8Num1z8"/>
    <w:rsid w:val="00AF36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ec.org" TargetMode="External"/><Relationship Id="rId5" Type="http://schemas.openxmlformats.org/officeDocument/2006/relationships/hyperlink" Target="http://www.spec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3781</Words>
  <Characters>22686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mchomicz</dc:creator>
  <cp:lastModifiedBy>mnowosadko</cp:lastModifiedBy>
  <cp:revision>2</cp:revision>
  <cp:lastPrinted>2021-04-16T08:00:00Z</cp:lastPrinted>
  <dcterms:created xsi:type="dcterms:W3CDTF">2022-02-22T10:24:00Z</dcterms:created>
  <dcterms:modified xsi:type="dcterms:W3CDTF">2022-02-22T10:24:00Z</dcterms:modified>
</cp:coreProperties>
</file>