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90D" w:rsidRDefault="00A57D9A" w:rsidP="00695830">
      <w:pPr>
        <w:spacing w:after="240"/>
        <w:jc w:val="right"/>
        <w:rPr>
          <w:rFonts w:ascii="Arial" w:hAnsi="Arial" w:cs="Arial"/>
        </w:rPr>
      </w:pPr>
      <w:r w:rsidRPr="00A57D9A">
        <w:rPr>
          <w:rFonts w:ascii="Arial" w:hAnsi="Arial" w:cs="Arial"/>
          <w:noProof/>
          <w:lang w:eastAsia="pl-PL"/>
        </w:rPr>
        <w:drawing>
          <wp:inline distT="0" distB="0" distL="0" distR="0">
            <wp:extent cx="5581015" cy="546905"/>
            <wp:effectExtent l="19050" t="0" r="635" b="0"/>
            <wp:docPr id="1" name="Obraz 1" descr="Zasady promocji i oznakowania projektów – umowy podpisane od 1 stycznia  2018 roku - RPO WSL 2014-2020"/>
            <wp:cNvGraphicFramePr/>
            <a:graphic xmlns:a="http://schemas.openxmlformats.org/drawingml/2006/main">
              <a:graphicData uri="http://schemas.openxmlformats.org/drawingml/2006/picture">
                <pic:pic xmlns:pic="http://schemas.openxmlformats.org/drawingml/2006/picture">
                  <pic:nvPicPr>
                    <pic:cNvPr id="0" name="Picture 1" descr="Zasady promocji i oznakowania projektów – umowy podpisane od 1 stycznia  2018 roku - RPO WSL 2014-2020"/>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1015" cy="546905"/>
                    </a:xfrm>
                    <a:prstGeom prst="rect">
                      <a:avLst/>
                    </a:prstGeom>
                    <a:noFill/>
                    <a:ln>
                      <a:noFill/>
                    </a:ln>
                  </pic:spPr>
                </pic:pic>
              </a:graphicData>
            </a:graphic>
          </wp:inline>
        </w:drawing>
      </w:r>
    </w:p>
    <w:p w:rsidR="00441C4E" w:rsidRDefault="00441C4E" w:rsidP="00441C4E">
      <w:pPr>
        <w:spacing w:after="240"/>
        <w:rPr>
          <w:rFonts w:ascii="Arial" w:hAnsi="Arial" w:cs="Arial"/>
        </w:rPr>
      </w:pPr>
      <w:r w:rsidRPr="004A1EE7">
        <w:rPr>
          <w:rFonts w:ascii="Arial" w:hAnsi="Arial" w:cs="Arial"/>
          <w:b/>
          <w:sz w:val="24"/>
          <w:szCs w:val="24"/>
          <w:u w:val="single"/>
        </w:rPr>
        <w:t xml:space="preserve">Znak sprawy: </w:t>
      </w:r>
      <w:r>
        <w:rPr>
          <w:rFonts w:ascii="Arial" w:hAnsi="Arial" w:cs="Arial"/>
          <w:b/>
          <w:sz w:val="24"/>
          <w:szCs w:val="24"/>
          <w:u w:val="single"/>
        </w:rPr>
        <w:t>TP/ZSM/1/22</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F7490D">
        <w:rPr>
          <w:rFonts w:ascii="Arial" w:hAnsi="Arial" w:cs="Arial"/>
        </w:rPr>
        <w:t>Chorzów</w:t>
      </w:r>
      <w:r w:rsidR="00A57D9A">
        <w:rPr>
          <w:rFonts w:ascii="Arial" w:hAnsi="Arial" w:cs="Arial"/>
        </w:rPr>
        <w:t>,</w:t>
      </w:r>
      <w:r w:rsidR="00F7490D">
        <w:rPr>
          <w:rFonts w:ascii="Arial" w:hAnsi="Arial" w:cs="Arial"/>
        </w:rPr>
        <w:t xml:space="preserve"> dni</w:t>
      </w:r>
      <w:r>
        <w:rPr>
          <w:rFonts w:ascii="Arial" w:hAnsi="Arial" w:cs="Arial"/>
        </w:rPr>
        <w:t>a: 02</w:t>
      </w:r>
      <w:r w:rsidR="00956290">
        <w:rPr>
          <w:rFonts w:ascii="Arial" w:hAnsi="Arial" w:cs="Arial"/>
        </w:rPr>
        <w:t>.02</w:t>
      </w:r>
      <w:r w:rsidR="00A57D9A">
        <w:rPr>
          <w:rFonts w:ascii="Arial" w:hAnsi="Arial" w:cs="Arial"/>
        </w:rPr>
        <w:t>.</w:t>
      </w:r>
      <w:r w:rsidR="00956290">
        <w:rPr>
          <w:rFonts w:ascii="Arial" w:hAnsi="Arial" w:cs="Arial"/>
        </w:rPr>
        <w:t>2022</w:t>
      </w:r>
      <w:r w:rsidR="00695830" w:rsidRPr="006850FC">
        <w:rPr>
          <w:rFonts w:ascii="Arial" w:hAnsi="Arial" w:cs="Arial"/>
        </w:rPr>
        <w:t>r.</w:t>
      </w:r>
    </w:p>
    <w:p w:rsidR="00441C4E" w:rsidRDefault="00441C4E" w:rsidP="00FF100E">
      <w:pPr>
        <w:tabs>
          <w:tab w:val="left" w:pos="708"/>
          <w:tab w:val="center" w:pos="4536"/>
          <w:tab w:val="right" w:pos="9072"/>
        </w:tabs>
        <w:ind w:left="5245"/>
        <w:rPr>
          <w:rFonts w:ascii="Arial" w:hAnsi="Arial" w:cs="Arial"/>
          <w:b/>
        </w:rPr>
      </w:pPr>
    </w:p>
    <w:p w:rsidR="00FF100E" w:rsidRPr="00FF100E" w:rsidRDefault="00FF100E" w:rsidP="00FF100E">
      <w:pPr>
        <w:tabs>
          <w:tab w:val="left" w:pos="708"/>
          <w:tab w:val="center" w:pos="4536"/>
          <w:tab w:val="right" w:pos="9072"/>
        </w:tabs>
        <w:ind w:left="5245"/>
        <w:rPr>
          <w:rFonts w:ascii="Arial" w:hAnsi="Arial" w:cs="Arial"/>
          <w:b/>
        </w:rPr>
      </w:pPr>
      <w:r w:rsidRPr="00FF100E">
        <w:rPr>
          <w:rFonts w:ascii="Arial" w:hAnsi="Arial" w:cs="Arial"/>
          <w:b/>
        </w:rPr>
        <w:t>WYKONAWCY</w:t>
      </w:r>
    </w:p>
    <w:p w:rsidR="00F7490D" w:rsidRPr="00956290" w:rsidRDefault="00FF100E" w:rsidP="00956290">
      <w:pPr>
        <w:tabs>
          <w:tab w:val="left" w:pos="708"/>
          <w:tab w:val="center" w:pos="4536"/>
          <w:tab w:val="right" w:pos="9072"/>
        </w:tabs>
        <w:ind w:left="5245"/>
        <w:rPr>
          <w:rFonts w:ascii="Arial" w:hAnsi="Arial" w:cs="Arial"/>
        </w:rPr>
      </w:pPr>
      <w:r w:rsidRPr="00FF100E">
        <w:rPr>
          <w:rFonts w:ascii="Arial" w:hAnsi="Arial" w:cs="Arial"/>
        </w:rPr>
        <w:t>ubiegający się o zamówienie publiczne</w:t>
      </w:r>
    </w:p>
    <w:p w:rsidR="00FF100E" w:rsidRPr="00445AB1" w:rsidRDefault="00BD1806" w:rsidP="00F7490D">
      <w:pPr>
        <w:pStyle w:val="Nagwek1"/>
        <w:spacing w:before="0"/>
        <w:jc w:val="center"/>
        <w:rPr>
          <w:rFonts w:ascii="Arial" w:hAnsi="Arial" w:cs="Arial"/>
          <w:color w:val="0070C0"/>
          <w:sz w:val="22"/>
          <w:szCs w:val="22"/>
        </w:rPr>
      </w:pPr>
      <w:r>
        <w:rPr>
          <w:rFonts w:ascii="Arial" w:hAnsi="Arial" w:cs="Arial"/>
          <w:color w:val="0070C0"/>
          <w:sz w:val="22"/>
          <w:szCs w:val="22"/>
        </w:rPr>
        <w:t xml:space="preserve">W Y J A Ś N I E N I A   </w:t>
      </w:r>
      <w:r w:rsidR="00FF4A06">
        <w:rPr>
          <w:rFonts w:ascii="Arial" w:hAnsi="Arial" w:cs="Arial"/>
          <w:color w:val="0070C0"/>
          <w:sz w:val="22"/>
          <w:szCs w:val="22"/>
        </w:rPr>
        <w:t xml:space="preserve">i    Z M I A N A  </w:t>
      </w:r>
      <w:r w:rsidR="005F7C0A">
        <w:rPr>
          <w:rFonts w:ascii="Arial" w:hAnsi="Arial" w:cs="Arial"/>
          <w:color w:val="0070C0"/>
          <w:sz w:val="22"/>
          <w:szCs w:val="22"/>
        </w:rPr>
        <w:t xml:space="preserve"> </w:t>
      </w:r>
      <w:r w:rsidR="00FF100E" w:rsidRPr="00445AB1">
        <w:rPr>
          <w:rFonts w:ascii="Arial" w:hAnsi="Arial" w:cs="Arial"/>
          <w:color w:val="0070C0"/>
          <w:sz w:val="22"/>
          <w:szCs w:val="22"/>
        </w:rPr>
        <w:t>S</w:t>
      </w:r>
      <w:r w:rsidR="00F7490D">
        <w:rPr>
          <w:rFonts w:ascii="Arial" w:hAnsi="Arial" w:cs="Arial"/>
          <w:color w:val="0070C0"/>
          <w:sz w:val="22"/>
          <w:szCs w:val="22"/>
        </w:rPr>
        <w:t xml:space="preserve"> </w:t>
      </w:r>
      <w:r w:rsidR="00FF100E" w:rsidRPr="00445AB1">
        <w:rPr>
          <w:rFonts w:ascii="Arial" w:hAnsi="Arial" w:cs="Arial"/>
          <w:color w:val="0070C0"/>
          <w:sz w:val="22"/>
          <w:szCs w:val="22"/>
        </w:rPr>
        <w:t>W</w:t>
      </w:r>
      <w:r w:rsidR="00F7490D">
        <w:rPr>
          <w:rFonts w:ascii="Arial" w:hAnsi="Arial" w:cs="Arial"/>
          <w:color w:val="0070C0"/>
          <w:sz w:val="22"/>
          <w:szCs w:val="22"/>
        </w:rPr>
        <w:t xml:space="preserve"> </w:t>
      </w:r>
      <w:r w:rsidR="00FF100E" w:rsidRPr="00445AB1">
        <w:rPr>
          <w:rFonts w:ascii="Arial" w:hAnsi="Arial" w:cs="Arial"/>
          <w:color w:val="0070C0"/>
          <w:sz w:val="22"/>
          <w:szCs w:val="22"/>
        </w:rPr>
        <w:t>Z</w:t>
      </w:r>
      <w:r w:rsidR="00BC30D0">
        <w:rPr>
          <w:rFonts w:ascii="Arial" w:hAnsi="Arial" w:cs="Arial"/>
          <w:color w:val="0070C0"/>
          <w:sz w:val="22"/>
          <w:szCs w:val="22"/>
        </w:rPr>
        <w:t xml:space="preserve">  5</w:t>
      </w:r>
    </w:p>
    <w:p w:rsidR="00FF100E" w:rsidRDefault="00FF100E" w:rsidP="0013388A">
      <w:pPr>
        <w:pStyle w:val="Bezodstpw"/>
        <w:ind w:left="5664"/>
        <w:rPr>
          <w:rFonts w:ascii="Arial" w:hAnsi="Arial" w:cs="Arial"/>
          <w:b/>
        </w:rPr>
      </w:pPr>
    </w:p>
    <w:p w:rsidR="00A57D9A" w:rsidRPr="005112D2" w:rsidRDefault="00FF100E" w:rsidP="00F7490D">
      <w:pPr>
        <w:jc w:val="both"/>
        <w:rPr>
          <w:rFonts w:ascii="Arial" w:hAnsi="Arial" w:cs="Arial"/>
          <w:b/>
        </w:rPr>
      </w:pPr>
      <w:r w:rsidRPr="00445AB1">
        <w:rPr>
          <w:rFonts w:ascii="Arial" w:hAnsi="Arial" w:cs="Arial"/>
        </w:rPr>
        <w:t xml:space="preserve">Dotyczy: </w:t>
      </w:r>
      <w:r w:rsidRPr="00F7490D">
        <w:rPr>
          <w:rFonts w:ascii="Arial" w:hAnsi="Arial" w:cs="Arial"/>
        </w:rPr>
        <w:t>postępowania o udzielenie zamówienia publicznego, prowadzonego w trybie  podstawowym na podstawie art. 275 pkt</w:t>
      </w:r>
      <w:r w:rsidR="00445AB1" w:rsidRPr="00F7490D">
        <w:rPr>
          <w:rFonts w:ascii="Arial" w:hAnsi="Arial" w:cs="Arial"/>
        </w:rPr>
        <w:t>.</w:t>
      </w:r>
      <w:r w:rsidRPr="00F7490D">
        <w:rPr>
          <w:rFonts w:ascii="Arial" w:hAnsi="Arial" w:cs="Arial"/>
        </w:rPr>
        <w:t xml:space="preserve"> 1 ustawy  z dnia 11 września 2019r. Prawo zamówień publicznych (Dz.</w:t>
      </w:r>
      <w:r w:rsidR="00931412" w:rsidRPr="00F7490D">
        <w:rPr>
          <w:rFonts w:ascii="Arial" w:hAnsi="Arial" w:cs="Arial"/>
        </w:rPr>
        <w:t xml:space="preserve"> </w:t>
      </w:r>
      <w:r w:rsidRPr="00F7490D">
        <w:rPr>
          <w:rFonts w:ascii="Arial" w:hAnsi="Arial" w:cs="Arial"/>
        </w:rPr>
        <w:t>U. 2021 r. poz. 112</w:t>
      </w:r>
      <w:r w:rsidR="00445AB1" w:rsidRPr="00F7490D">
        <w:rPr>
          <w:rFonts w:ascii="Arial" w:hAnsi="Arial" w:cs="Arial"/>
        </w:rPr>
        <w:t>9) zwanej dalej ustawą Pzp, pn.</w:t>
      </w:r>
      <w:r w:rsidRPr="00F7490D">
        <w:rPr>
          <w:rFonts w:ascii="Arial" w:hAnsi="Arial" w:cs="Arial"/>
        </w:rPr>
        <w:t xml:space="preserve">: </w:t>
      </w:r>
      <w:r w:rsidRPr="00F7490D">
        <w:rPr>
          <w:rFonts w:ascii="Arial" w:hAnsi="Arial" w:cs="Arial"/>
          <w:b/>
        </w:rPr>
        <w:t>„</w:t>
      </w:r>
      <w:r w:rsidR="00A57D9A" w:rsidRPr="00A57D9A">
        <w:rPr>
          <w:rFonts w:ascii="Arial" w:hAnsi="Arial" w:cs="Arial"/>
          <w:b/>
          <w:i/>
        </w:rPr>
        <w:t>Zakup sprzętu medycznego na potrzeby Szpitala Specjalistycznego w Chorzowie</w:t>
      </w:r>
      <w:r w:rsidR="00A57D9A">
        <w:rPr>
          <w:rFonts w:ascii="Arial" w:hAnsi="Arial" w:cs="Arial"/>
          <w:b/>
          <w:i/>
        </w:rPr>
        <w:t>”</w:t>
      </w:r>
      <w:r w:rsidR="00A57D9A" w:rsidRPr="00A57D9A">
        <w:rPr>
          <w:rFonts w:ascii="Arial" w:hAnsi="Arial" w:cs="Arial"/>
          <w:b/>
          <w:i/>
        </w:rPr>
        <w:t xml:space="preserve">. </w:t>
      </w:r>
    </w:p>
    <w:p w:rsidR="00F7490D" w:rsidRDefault="00F7490D" w:rsidP="00F7490D">
      <w:pPr>
        <w:jc w:val="both"/>
        <w:rPr>
          <w:rFonts w:ascii="Arial" w:hAnsi="Arial" w:cs="Arial"/>
          <w:color w:val="000000"/>
        </w:rPr>
      </w:pPr>
      <w:r w:rsidRPr="00FE19C1">
        <w:rPr>
          <w:rFonts w:ascii="Arial" w:hAnsi="Arial" w:cs="Arial"/>
          <w:color w:val="000000"/>
        </w:rPr>
        <w:t xml:space="preserve">Na podstawie art. 284 ust.1, 2 i 6 ustawy </w:t>
      </w:r>
      <w:r w:rsidRPr="00FE19C1">
        <w:rPr>
          <w:rFonts w:ascii="Arial" w:hAnsi="Arial" w:cs="Arial"/>
          <w:bCs/>
          <w:color w:val="000000"/>
        </w:rPr>
        <w:t xml:space="preserve">PZP </w:t>
      </w:r>
      <w:r w:rsidR="00A57D9A">
        <w:rPr>
          <w:rFonts w:ascii="Arial" w:hAnsi="Arial" w:cs="Arial"/>
          <w:color w:val="000000"/>
        </w:rPr>
        <w:t>w związku z zapytaniami Wykonawców</w:t>
      </w:r>
      <w:r w:rsidRPr="00FE19C1">
        <w:rPr>
          <w:rFonts w:ascii="Arial" w:hAnsi="Arial" w:cs="Arial"/>
          <w:color w:val="000000"/>
        </w:rPr>
        <w:t xml:space="preserve"> – Zamawiający, Szpital Specjalistyczny w Chorzowie wyjaśnia treść specyfikacji warunków zamówienia (zwana dalej SWZ)  w sposób następujący:</w:t>
      </w:r>
    </w:p>
    <w:p w:rsidR="00A57D9A" w:rsidRPr="00A57D9A" w:rsidRDefault="00A57D9A" w:rsidP="00A57D9A">
      <w:pPr>
        <w:jc w:val="both"/>
        <w:rPr>
          <w:rFonts w:ascii="Arial" w:hAnsi="Arial" w:cs="Arial"/>
          <w:b/>
          <w:color w:val="000000"/>
        </w:rPr>
      </w:pPr>
      <w:r>
        <w:rPr>
          <w:rFonts w:ascii="Arial" w:hAnsi="Arial" w:cs="Arial"/>
          <w:b/>
          <w:color w:val="000000"/>
        </w:rPr>
        <w:t xml:space="preserve">Pytanie </w:t>
      </w:r>
      <w:r w:rsidR="00FF4A06">
        <w:rPr>
          <w:rFonts w:ascii="Arial" w:hAnsi="Arial" w:cs="Arial"/>
          <w:b/>
          <w:color w:val="000000"/>
        </w:rPr>
        <w:t>39</w:t>
      </w:r>
      <w:r w:rsidR="00F7490D" w:rsidRPr="00BD1806">
        <w:rPr>
          <w:rFonts w:ascii="Arial" w:hAnsi="Arial" w:cs="Arial"/>
          <w:b/>
          <w:color w:val="000000"/>
        </w:rPr>
        <w:t>:</w:t>
      </w:r>
      <w:r w:rsidR="00A806C3">
        <w:rPr>
          <w:rFonts w:ascii="Arial" w:hAnsi="Arial" w:cs="Arial"/>
          <w:b/>
          <w:color w:val="000000"/>
        </w:rPr>
        <w:t xml:space="preserve"> </w:t>
      </w:r>
    </w:p>
    <w:p w:rsidR="00956290" w:rsidRPr="00956290" w:rsidRDefault="00956290" w:rsidP="004C39C3">
      <w:pPr>
        <w:autoSpaceDE w:val="0"/>
        <w:autoSpaceDN w:val="0"/>
        <w:adjustRightInd w:val="0"/>
        <w:spacing w:after="0" w:line="240" w:lineRule="auto"/>
        <w:jc w:val="both"/>
        <w:rPr>
          <w:rFonts w:ascii="Arial" w:eastAsia="DejaVuSansCondensed" w:hAnsi="Arial" w:cs="Arial"/>
        </w:rPr>
      </w:pPr>
      <w:r w:rsidRPr="00956290">
        <w:rPr>
          <w:rFonts w:ascii="Arial" w:eastAsiaTheme="minorHAnsi" w:hAnsi="Arial" w:cs="Arial"/>
          <w:color w:val="1B1E20"/>
        </w:rPr>
        <w:t>Czy oferta na zadanie 5 i 9 może obejmować ten sam produkt?</w:t>
      </w:r>
    </w:p>
    <w:p w:rsidR="00F7490D" w:rsidRPr="00FF4A06" w:rsidRDefault="00F7490D" w:rsidP="00956290">
      <w:pPr>
        <w:autoSpaceDE w:val="0"/>
        <w:autoSpaceDN w:val="0"/>
        <w:adjustRightInd w:val="0"/>
        <w:spacing w:after="0" w:line="240" w:lineRule="auto"/>
        <w:jc w:val="both"/>
        <w:rPr>
          <w:rFonts w:ascii="Arial" w:hAnsi="Arial" w:cs="Arial"/>
          <w:b/>
          <w:color w:val="0070C0"/>
          <w:u w:val="single"/>
          <w:lang w:eastAsia="pl-PL"/>
        </w:rPr>
      </w:pPr>
      <w:r w:rsidRPr="00BD1806">
        <w:rPr>
          <w:rFonts w:ascii="Arial" w:hAnsi="Arial" w:cs="Arial"/>
          <w:b/>
          <w:color w:val="0070C0"/>
          <w:u w:val="single"/>
          <w:lang w:eastAsia="pl-PL"/>
        </w:rPr>
        <w:t>Odpowiedź:</w:t>
      </w:r>
      <w:r w:rsidR="006A7888" w:rsidRPr="00956290">
        <w:rPr>
          <w:rFonts w:ascii="Arial" w:eastAsiaTheme="minorHAnsi" w:hAnsi="Arial" w:cs="Arial"/>
          <w:color w:val="25292B"/>
        </w:rPr>
        <w:br/>
      </w:r>
      <w:r w:rsidR="00FF4A06" w:rsidRPr="00FF4A06">
        <w:rPr>
          <w:rFonts w:ascii="Arial" w:eastAsiaTheme="minorHAnsi" w:hAnsi="Arial" w:cs="Arial"/>
          <w:color w:val="0070C0"/>
        </w:rPr>
        <w:t>Zamawiający informuje, że oferta na zadanie 5 i 9  nie może obejmować ten sam produkt. Produkty winny być zgodne z warunkami określonymi w SWZ.</w:t>
      </w:r>
    </w:p>
    <w:p w:rsidR="00FF4A06" w:rsidRPr="00956290" w:rsidRDefault="00FF4A06" w:rsidP="00956290">
      <w:pPr>
        <w:autoSpaceDE w:val="0"/>
        <w:autoSpaceDN w:val="0"/>
        <w:adjustRightInd w:val="0"/>
        <w:spacing w:after="0" w:line="240" w:lineRule="auto"/>
        <w:jc w:val="both"/>
        <w:rPr>
          <w:rFonts w:ascii="Arial" w:eastAsiaTheme="minorHAnsi" w:hAnsi="Arial" w:cs="Arial"/>
          <w:color w:val="25292B"/>
        </w:rPr>
      </w:pPr>
    </w:p>
    <w:p w:rsidR="00BD1806" w:rsidRDefault="00FF4A06" w:rsidP="00BD1806">
      <w:pPr>
        <w:jc w:val="both"/>
        <w:rPr>
          <w:rFonts w:ascii="Arial" w:hAnsi="Arial" w:cs="Arial"/>
          <w:b/>
          <w:color w:val="000000"/>
        </w:rPr>
      </w:pPr>
      <w:r>
        <w:rPr>
          <w:rFonts w:ascii="Arial" w:hAnsi="Arial" w:cs="Arial"/>
          <w:b/>
          <w:color w:val="000000"/>
        </w:rPr>
        <w:t>Pytanie 40</w:t>
      </w:r>
      <w:r w:rsidR="00BD1806" w:rsidRPr="00BD1806">
        <w:rPr>
          <w:rFonts w:ascii="Arial" w:hAnsi="Arial" w:cs="Arial"/>
          <w:b/>
          <w:color w:val="000000"/>
        </w:rPr>
        <w:t>:</w:t>
      </w:r>
      <w:r w:rsidR="0051313A">
        <w:rPr>
          <w:rFonts w:ascii="Arial" w:hAnsi="Arial" w:cs="Arial"/>
          <w:b/>
          <w:color w:val="000000"/>
        </w:rPr>
        <w:t xml:space="preserve"> </w:t>
      </w:r>
    </w:p>
    <w:p w:rsidR="00956290" w:rsidRPr="00956290" w:rsidRDefault="00956290" w:rsidP="00BD1806">
      <w:pPr>
        <w:jc w:val="both"/>
        <w:rPr>
          <w:rFonts w:ascii="Arial" w:hAnsi="Arial" w:cs="Arial"/>
        </w:rPr>
      </w:pPr>
      <w:r w:rsidRPr="00956290">
        <w:rPr>
          <w:rFonts w:ascii="Arial" w:hAnsi="Arial" w:cs="Arial"/>
        </w:rPr>
        <w:t xml:space="preserve">Z opublikowanych w dniu 25-01-2022 odpowiedzi na zapytania powstały duże sprzeczności powodujące nie możliwość rozstrzygnięcia postępowania gdyż nie istnieje produkt spełniający wszystkie potwierdzone w odpowiedziach wymagania . Ponadto zamawiający nie określił jednoznacznie parametrów równoważności, a odpowiedz na pytanie nr 38 jest opisem wskazującym na konkretny znak towarowy niskiej klasy. Z uwagi na powyższe wnosimy o usuniecie rozbieżności i wykluczających się zapisów gdyż w tej postaci oferty nie będą porównywalne i nie będzie możliwa ocena ofert z godnie z zasadami uczciwej konkurencji , zapisy są nie jasne budzą wątpliwości i sprzeczności zatem postępowanie nie zostanie rozstrzygnięte. Dlatego pomimo upływu terminu składania zapytań wnosimy poniższe wnioski o wyjaśnienie i prosimy o ich przychylne przyjecie i rozpatrzenie . W SWZ w rozdziale 4 „opis przedmiotu zamówienia” zamawiający wymagał jako parametrów minimalnych: Temat: </w:t>
      </w:r>
      <w:proofErr w:type="spellStart"/>
      <w:r w:rsidRPr="00956290">
        <w:rPr>
          <w:rFonts w:ascii="Arial" w:hAnsi="Arial" w:cs="Arial"/>
        </w:rPr>
        <w:t>Translokator</w:t>
      </w:r>
      <w:proofErr w:type="spellEnd"/>
      <w:r w:rsidRPr="00956290">
        <w:rPr>
          <w:rFonts w:ascii="Arial" w:hAnsi="Arial" w:cs="Arial"/>
        </w:rPr>
        <w:t xml:space="preserve"> naczyń - 6 szt. Wspólny Słownik Zamówień: 33100000-1 - Urządzenia medyczne Opis: urządzenie lokalizujące naczynie krwionośne oraz podświetlające je. Wykorzystywane do tego jest podczerwień oraz laser, który dokonuje "mapowania naczyń". Wyposażony jest w kolorowy wyświetlacz oraz przyciski funkcyjne pozwalające na regulację intensywności </w:t>
      </w:r>
      <w:r w:rsidRPr="00956290">
        <w:rPr>
          <w:rFonts w:ascii="Arial" w:hAnsi="Arial" w:cs="Arial"/>
        </w:rPr>
        <w:lastRenderedPageBreak/>
        <w:t xml:space="preserve">projekcji, limitu czasu projekcji itp.; urządzenie na statywie metalowym, ładowany akumulatorowo, czas pracy 8h, akumulator litowo-jonowy Oferowany przez Wykonawcę przedmiot zamówienia musi być zgodny z opisem, kompletny i po zamontowaniu/zainstalowaniu/ustawieniu gotowy do pracy bez żadnych dodatkowych zakupów i inwestycji. Wykonawca musi dostarczyć przedmiot zamówienia wyłącznie fabrycznie nowy, nieregenerowany, </w:t>
      </w:r>
      <w:proofErr w:type="spellStart"/>
      <w:r w:rsidRPr="00956290">
        <w:rPr>
          <w:rFonts w:ascii="Arial" w:hAnsi="Arial" w:cs="Arial"/>
        </w:rPr>
        <w:t>niepowystawowy</w:t>
      </w:r>
      <w:proofErr w:type="spellEnd"/>
      <w:r w:rsidRPr="00956290">
        <w:rPr>
          <w:rFonts w:ascii="Arial" w:hAnsi="Arial" w:cs="Arial"/>
        </w:rPr>
        <w:t xml:space="preserve">, w stanie kompletnym tj. gwarantującym jego stosowanie zgodnie z przeznaczeniem bez dokonywania dodatkowych zakupów elementów i akcesoriów. Wymaganie jest dostarczenie instrukcji obsługi i konserwacji – najpóźniej w dniu zawarcia umowy. W odpowiedzi na Pytanie 3 zamawiający wymaga dostarczenia urządzenia wysokiej klasy „Zamawiający informuje iż postępowaniu wymaga urządzeń wysokiej klasy” zgodnie z opisem z zapytania w tym miedzy innymi: </w:t>
      </w:r>
      <w:r w:rsidRPr="00956290">
        <w:rPr>
          <w:rFonts w:ascii="Arial" w:hAnsi="Arial" w:cs="Arial"/>
        </w:rPr>
        <w:sym w:font="Symbol" w:char="F0B7"/>
      </w:r>
      <w:r w:rsidRPr="00956290">
        <w:rPr>
          <w:rFonts w:ascii="Arial" w:hAnsi="Arial" w:cs="Arial"/>
        </w:rPr>
        <w:t xml:space="preserve"> Wyposażony jest w dwa niezależne źródła emisji światła (np. bliska podczerwień/ bliska podczerwień), które pozwalają na poprawne wyświetlanie mapy w każdych warunkach w tym możliwość projekcji w 5 kolorach i 4 poziomach jasności </w:t>
      </w:r>
      <w:r w:rsidRPr="00956290">
        <w:rPr>
          <w:rFonts w:ascii="Arial" w:hAnsi="Arial" w:cs="Arial"/>
        </w:rPr>
        <w:sym w:font="Symbol" w:char="F0B7"/>
      </w:r>
      <w:r w:rsidRPr="00956290">
        <w:rPr>
          <w:rFonts w:ascii="Arial" w:hAnsi="Arial" w:cs="Arial"/>
        </w:rPr>
        <w:t xml:space="preserve"> Wyposażony jest trybu pomiaru i wskazania głębokości położenia żył, a także panel z kolorowymi </w:t>
      </w:r>
      <w:proofErr w:type="spellStart"/>
      <w:r w:rsidRPr="00956290">
        <w:rPr>
          <w:rFonts w:ascii="Arial" w:hAnsi="Arial" w:cs="Arial"/>
        </w:rPr>
        <w:t>dodami</w:t>
      </w:r>
      <w:proofErr w:type="spellEnd"/>
      <w:r w:rsidRPr="00956290">
        <w:rPr>
          <w:rFonts w:ascii="Arial" w:hAnsi="Arial" w:cs="Arial"/>
        </w:rPr>
        <w:t xml:space="preserve"> i wyświetlaczem ułatwiający pracę personelowi medycznemu wybór odpowiednich funkcji i co oczywiste sam proces wkłucia. </w:t>
      </w:r>
      <w:r w:rsidRPr="00956290">
        <w:rPr>
          <w:rFonts w:ascii="Arial" w:hAnsi="Arial" w:cs="Arial"/>
        </w:rPr>
        <w:sym w:font="Symbol" w:char="F0B7"/>
      </w:r>
      <w:r w:rsidRPr="00956290">
        <w:rPr>
          <w:rFonts w:ascii="Arial" w:hAnsi="Arial" w:cs="Arial"/>
        </w:rPr>
        <w:t xml:space="preserve"> Dotykowy Panel pozwala na wybieranie nie tylko intensywności projekcji, ale także wielkości okna wyświetlania, możliwości ustawienia trybu pozwalającego dobranie ostrości projekcji, wybór koloru projekcji, możliwość odwrócenia barw i inne. </w:t>
      </w:r>
      <w:r w:rsidRPr="00956290">
        <w:rPr>
          <w:rFonts w:ascii="Arial" w:hAnsi="Arial" w:cs="Arial"/>
        </w:rPr>
        <w:sym w:font="Symbol" w:char="F0B7"/>
      </w:r>
      <w:r w:rsidRPr="00956290">
        <w:rPr>
          <w:rFonts w:ascii="Arial" w:hAnsi="Arial" w:cs="Arial"/>
        </w:rPr>
        <w:t xml:space="preserve"> Ma możliwość zastosowania systemów zapobiegających upadkowi urządzenia w wypadku wyślizgnięcia się z ręki operatora, co zabezpiecza urządzenie przed uszkodzeniami mechanicznymi oraz co za tym idzie kosztami pozagwarancyjnej naprawy. W odpowiedzi na Pytanie 38 zamawiający ponownie określił opis min. Parametrów wymaganych które to stoją w sprzeczności do odpowiedzi na Pytanie 3 oraz innych odpowiedzi opublikowanych w tym samym dniu. Poniżej przedstawiamy parametry które są sprzeczne: </w:t>
      </w:r>
      <w:r w:rsidRPr="00956290">
        <w:rPr>
          <w:rFonts w:ascii="Arial" w:hAnsi="Arial" w:cs="Arial"/>
        </w:rPr>
        <w:sym w:font="Symbol" w:char="F0B7"/>
      </w:r>
      <w:r w:rsidRPr="00956290">
        <w:rPr>
          <w:rFonts w:ascii="Arial" w:hAnsi="Arial" w:cs="Arial"/>
        </w:rPr>
        <w:t xml:space="preserve"> Rozdzielczość obrazu – nie mniejsza niż 856x480 W początkowym opisie nie byłą obecna wytyczna dotycząca rozdzielczości a właściwą dla jej określenia będzie łączna ilość pikseli a nie oś X oraz Y. Łączna rozdzielczość powinna być określona jako wynik równania 856x480 czyli minimum 410880 pikseli </w:t>
      </w:r>
      <w:r w:rsidRPr="00956290">
        <w:rPr>
          <w:rFonts w:ascii="Arial" w:hAnsi="Arial" w:cs="Arial"/>
        </w:rPr>
        <w:sym w:font="Symbol" w:char="F0B7"/>
      </w:r>
      <w:r w:rsidRPr="00956290">
        <w:rPr>
          <w:rFonts w:ascii="Arial" w:hAnsi="Arial" w:cs="Arial"/>
        </w:rPr>
        <w:t xml:space="preserve"> Urządzenie wyposażone w wbudowaną baterię litowo-jonową o pojemności nie mniejszej niż 4000mAh oraz czas pracy urządzenia na zasilaniu z baterii około 5h W odpowiedziach na pytania 5, 8, 9 zamawiający dopuścił urządzenia nie na zasadzie pojemności baterii w </w:t>
      </w:r>
      <w:proofErr w:type="spellStart"/>
      <w:r w:rsidRPr="00956290">
        <w:rPr>
          <w:rFonts w:ascii="Arial" w:hAnsi="Arial" w:cs="Arial"/>
        </w:rPr>
        <w:t>mAh</w:t>
      </w:r>
      <w:proofErr w:type="spellEnd"/>
      <w:r w:rsidRPr="00956290">
        <w:rPr>
          <w:rFonts w:ascii="Arial" w:hAnsi="Arial" w:cs="Arial"/>
        </w:rPr>
        <w:t xml:space="preserve">, a na zasadzie czasu ich działania. Kolejno dopuścił urządzenia działające 2,5-3 godziny, 4.5 godziny, 5 godzin. W związku z powyższym należy ten parametr określić nie na zasadzie pojemności baterii, a czasu jej działania gdzie w związku z opublikowanymi odpowiedziami minimalny czas działania określony powinien zostać na 2,5h. A dodatkowo zgodnie z odpowiedzią na pytanie 5 należy określić parametr dodatkowo możliwością doładowywania urządzenia podczas pracy. </w:t>
      </w:r>
      <w:r w:rsidRPr="00956290">
        <w:rPr>
          <w:rFonts w:ascii="Arial" w:hAnsi="Arial" w:cs="Arial"/>
        </w:rPr>
        <w:sym w:font="Symbol" w:char="F0B7"/>
      </w:r>
      <w:r w:rsidRPr="00956290">
        <w:rPr>
          <w:rFonts w:ascii="Arial" w:hAnsi="Arial" w:cs="Arial"/>
        </w:rPr>
        <w:t xml:space="preserve"> Minimum 5 trybów wyświetlanej projekcji W odpowiedziach na zapytanie 3 jako wymóg zamawiający określił że urządzenia powinno dokonywać projekcji w 5 kolorach oraz 4 poziomach jasności. I ten parametr należałoby określić analogicznie. Nie jako tryby ogólnie ale ze wskazaniem: minimum 5 trybów projekcji w tym minimum 5 kolorów i minimum 4 poziomy jasności. </w:t>
      </w:r>
      <w:r w:rsidRPr="00956290">
        <w:rPr>
          <w:rFonts w:ascii="Arial" w:hAnsi="Arial" w:cs="Arial"/>
        </w:rPr>
        <w:sym w:font="Symbol" w:char="F0B7"/>
      </w:r>
      <w:r w:rsidRPr="00956290">
        <w:rPr>
          <w:rFonts w:ascii="Arial" w:hAnsi="Arial" w:cs="Arial"/>
        </w:rPr>
        <w:t xml:space="preserve"> Wymiary 60x60x240 +-5% Parametr ten jest tak skonstruowany że spełnia go tylko jedno urządzenie dostępne na rynku (choć ono nie spełnia wymagań dotyczących urządzeń wysokiej klasy wymaganych przez </w:t>
      </w:r>
      <w:r w:rsidRPr="00956290">
        <w:rPr>
          <w:rFonts w:ascii="Arial" w:hAnsi="Arial" w:cs="Arial"/>
        </w:rPr>
        <w:lastRenderedPageBreak/>
        <w:t xml:space="preserve">zamawiającego). Aby istniała możliwość na zaoferowanie również innych urządzeń sugerujemy rozszerzenie zakresu z +-5% do +-15%. Jeżeli chodzi o wielkość i jakość pracy (różnice o kilka milimetrów) nie będzie to miało żadnego wpływu dla zamawiającego/użytkownika a umożliwi otrzymanie oferty również na inne modele urządzeń wysokiej klasy. </w:t>
      </w:r>
      <w:r w:rsidRPr="00956290">
        <w:rPr>
          <w:rFonts w:ascii="Arial" w:hAnsi="Arial" w:cs="Arial"/>
        </w:rPr>
        <w:sym w:font="Symbol" w:char="F0B7"/>
      </w:r>
      <w:r w:rsidRPr="00956290">
        <w:rPr>
          <w:rFonts w:ascii="Arial" w:hAnsi="Arial" w:cs="Arial"/>
        </w:rPr>
        <w:t xml:space="preserve"> Wbudowany wyświetlacz (ekran) W nowym opisie minimalnych parametrów wymaganych zamawiający nie zamieścił (wymóg z odpowiedzi na pytanie 5) wymogu wyświetlacza. Wyświetlacz jest niezbędna częścią sprzętu wysokiej klasy informująca użytkownika(personel) o parametrach urządzenia i umożliwiający łatwe szybkie i szerokie stosownie przez personel. W odpowiedzi na pytanie 6 zamawiający potwierdził że niezbędne informacje mogą być wyświetlane na skórze, a nie na wyświetlaczu jednak zgodnie z odpowiedzią wymóg wyświetlacza z pytania 3 został podtrzymany. Rozumieć to należy następująco: informacje mogą być wyświetlane na skórze i/lub wyświetlaczu jednak wymaga się aby urządzenia posiadało wyświetlacz co jest istotne w urządzeniach wysokiej klasy </w:t>
      </w:r>
      <w:r w:rsidRPr="00956290">
        <w:rPr>
          <w:rFonts w:ascii="Arial" w:hAnsi="Arial" w:cs="Arial"/>
        </w:rPr>
        <w:sym w:font="Symbol" w:char="F0B7"/>
      </w:r>
      <w:r w:rsidRPr="00956290">
        <w:rPr>
          <w:rFonts w:ascii="Arial" w:hAnsi="Arial" w:cs="Arial"/>
        </w:rPr>
        <w:t xml:space="preserve"> Tryb pomiaru i wskazania głębokości żył W związku z odpowiedzią na pytanie 3 w parametrach minimalnych wymaganych jako dla wymaganego urządzenia wysokiej klasy należy również uwzględnić ten tryb jako wymagany, co zostało przez zamawiającego pominięte. Jednocześnie zamawiający odpowiadając na pytanie 38 opublikował całkowicie nową listę parametrów, nie poprzedzoną pytaniami oferentów i nie uwzględnił w niej parametrów wymaganych opisanych w odpowiedzi na pytanie 3. W związku z powyższym prosimy o sprostowanie minimalnych wymaganych parametrów tak aby zamawiający był w stanie zakończyć postępowanie i w taki sposób aby był jasny dla wszystkich oferentów. Najlepiej publikując na nowo Opis przedmiotu zamówienia. Aby odpowiedzi były spójne należałoby opublikować listę parametrów wymaganych z SWZ wraz ze zmianami w następujący sposób (pozwoli to oferentom na przejrzystość, a zamawiającemu na zamknięcie postępowania w zaplanowanym czasie): Temat: </w:t>
      </w:r>
      <w:proofErr w:type="spellStart"/>
      <w:r w:rsidRPr="00956290">
        <w:rPr>
          <w:rFonts w:ascii="Arial" w:hAnsi="Arial" w:cs="Arial"/>
        </w:rPr>
        <w:t>Translokator</w:t>
      </w:r>
      <w:proofErr w:type="spellEnd"/>
      <w:r w:rsidRPr="00956290">
        <w:rPr>
          <w:rFonts w:ascii="Arial" w:hAnsi="Arial" w:cs="Arial"/>
        </w:rPr>
        <w:t xml:space="preserve"> naczyń - 6 szt. Wspólny Słownik Zamówień: 33100000-1 - Urządzenia medyczne Opis: urządzenie lokalizujące naczynie krwionośne oraz podświetlające je. Wykorzystywane do tego jest podczerwień lub laser lub LED, który dokonuje "mapowania naczyń". Wyposażony jest w dwa niezależne źródła emisji światła (np. bliska podczerwień/ bliska podczerwień), które pozwalają na poprawne wyświetlanie mapy w każdych warunkach w tym możliwość projekcji w 5 kolorach i 4 poziomach jasności. Wyposażony jest trybu pomiaru i wskazania głębokości położenia żył, a także panel z kolorowymi diodami i wyświetlaczem ułatwiający pracę personelowi medycznemu wybór odpowiednich funkcji i co oczywiste sam proces wkłucia. Dotykowy Panel pozwala na wybieranie nie tylko </w:t>
      </w:r>
      <w:proofErr w:type="spellStart"/>
      <w:r w:rsidRPr="00956290">
        <w:rPr>
          <w:rFonts w:ascii="Arial" w:hAnsi="Arial" w:cs="Arial"/>
        </w:rPr>
        <w:t>instensywności</w:t>
      </w:r>
      <w:proofErr w:type="spellEnd"/>
      <w:r w:rsidRPr="00956290">
        <w:rPr>
          <w:rFonts w:ascii="Arial" w:hAnsi="Arial" w:cs="Arial"/>
        </w:rPr>
        <w:t xml:space="preserve"> projekcji, ale także wielkości okna wyświetlania, możliwości ustawienia trybu pozwalającego dobranie ostrości projekcji, wybór koloru projekcji, możliwość odwrócenia barw i inne. Ma możliwość zastosowania systemów zapobiegających upadkowi urządzenia w wypadku wyślizgnięcia się z ręki operatora, co zabezpiecza urządzenie przed uszkodzeniami mechanicznymi oraz co za tym idzie kosztami pozagwarancyjnej naprawy. Wyposażony jest w kolorowy wyświetlacz lub panel z kolorowymi diodami i wyświetlaczem min 1,2” z wbudowanym wyświetlaczem oraz przyciski funkcyjne pozwalające na regulację intensywności projekcji, limitu czasu projekcji itp.; urządzenie na podstawie jezdnej oraz z ładowarką, ładowany akumulatorowo, czas pracy 8h lub minimum 2,5h pracy z możliwością doładowywania podczas pracy, czas ładowania nie większy niż 4 godziny, akumulator </w:t>
      </w:r>
      <w:proofErr w:type="spellStart"/>
      <w:r w:rsidRPr="00956290">
        <w:rPr>
          <w:rFonts w:ascii="Arial" w:hAnsi="Arial" w:cs="Arial"/>
        </w:rPr>
        <w:t>litowojonowy</w:t>
      </w:r>
      <w:proofErr w:type="spellEnd"/>
      <w:r w:rsidRPr="00956290">
        <w:rPr>
          <w:rFonts w:ascii="Arial" w:hAnsi="Arial" w:cs="Arial"/>
        </w:rPr>
        <w:t xml:space="preserve">. Oferowany przez Wykonawcę przedmiot zamówienia musi być </w:t>
      </w:r>
      <w:r w:rsidRPr="00956290">
        <w:rPr>
          <w:rFonts w:ascii="Arial" w:hAnsi="Arial" w:cs="Arial"/>
        </w:rPr>
        <w:lastRenderedPageBreak/>
        <w:t>zgodny z opisem, kompletny i po zamontowaniu/zainstalowaniu/ustawieniu gotowy do pracy bez żadnych dodatkowych zakupów i inwestycji.</w:t>
      </w:r>
    </w:p>
    <w:p w:rsidR="00956290" w:rsidRPr="00956290" w:rsidRDefault="00956290" w:rsidP="00BD1806">
      <w:pPr>
        <w:jc w:val="both"/>
        <w:rPr>
          <w:rFonts w:ascii="Arial" w:hAnsi="Arial" w:cs="Arial"/>
        </w:rPr>
      </w:pPr>
      <w:r w:rsidRPr="00956290">
        <w:rPr>
          <w:rFonts w:ascii="Arial" w:hAnsi="Arial" w:cs="Arial"/>
        </w:rPr>
        <w:t xml:space="preserve">Wykonawca musi dostarczyć przedmiot zamówienia wyłącznie fabrycznie nowy, nieregenerowany, </w:t>
      </w:r>
      <w:proofErr w:type="spellStart"/>
      <w:r w:rsidRPr="00956290">
        <w:rPr>
          <w:rFonts w:ascii="Arial" w:hAnsi="Arial" w:cs="Arial"/>
        </w:rPr>
        <w:t>niepowystawowy</w:t>
      </w:r>
      <w:proofErr w:type="spellEnd"/>
      <w:r w:rsidRPr="00956290">
        <w:rPr>
          <w:rFonts w:ascii="Arial" w:hAnsi="Arial" w:cs="Arial"/>
        </w:rPr>
        <w:t>, w stanie kompletnym tj. gwarantującym jego stosowanie zgodnie z przeznaczeniem bez dokonywania dodatkowych zakupów elementów i akcesoriów. Wymaganie jest dostarczenie instrukcji obsługi i konserwacji – najpóźniej w dniu zawarcia umowy. Zamawiający określa minimalny wymagany 24 - miesięczny okres gwarancji liczony od dnia końcowego odbioru robót (zgodnie z protokołem końcowym). Zamawiający dopuszcza składanie ofert równoważnych. Informacje dotyczące oferty wariantowej, o której mowa w art. 92 ustawy Pzp: Zamawiający nie dopuszcza składania ofert wariantowych.</w:t>
      </w:r>
    </w:p>
    <w:p w:rsidR="00BD1806" w:rsidRDefault="00BD1806" w:rsidP="00BD1806">
      <w:pPr>
        <w:pStyle w:val="Bezodstpw"/>
        <w:jc w:val="both"/>
        <w:rPr>
          <w:rFonts w:ascii="Arial" w:eastAsia="Calibri" w:hAnsi="Arial" w:cs="Arial"/>
          <w:b/>
          <w:color w:val="0070C0"/>
          <w:u w:val="single"/>
          <w:lang w:eastAsia="pl-PL"/>
        </w:rPr>
      </w:pPr>
      <w:r w:rsidRPr="00BD1806">
        <w:rPr>
          <w:rFonts w:ascii="Arial" w:eastAsia="Calibri" w:hAnsi="Arial" w:cs="Arial"/>
          <w:b/>
          <w:color w:val="0070C0"/>
          <w:u w:val="single"/>
          <w:lang w:eastAsia="pl-PL"/>
        </w:rPr>
        <w:t>Odpowiedź:</w:t>
      </w:r>
    </w:p>
    <w:p w:rsidR="00FF4A06" w:rsidRPr="00FF4A06" w:rsidRDefault="00FF4A06" w:rsidP="00FF4A06">
      <w:pPr>
        <w:autoSpaceDE w:val="0"/>
        <w:autoSpaceDN w:val="0"/>
        <w:adjustRightInd w:val="0"/>
        <w:spacing w:after="0" w:line="240" w:lineRule="auto"/>
        <w:rPr>
          <w:rFonts w:ascii="Arial" w:eastAsiaTheme="minorHAnsi" w:hAnsi="Arial" w:cs="Arial"/>
          <w:color w:val="0070C0"/>
          <w:sz w:val="23"/>
          <w:szCs w:val="23"/>
        </w:rPr>
      </w:pPr>
      <w:r w:rsidRPr="00FF4A06">
        <w:rPr>
          <w:rFonts w:ascii="Arial" w:eastAsiaTheme="minorHAnsi" w:hAnsi="Arial" w:cs="Arial"/>
          <w:color w:val="0070C0"/>
          <w:sz w:val="23"/>
          <w:szCs w:val="23"/>
        </w:rPr>
        <w:t xml:space="preserve">Temat: </w:t>
      </w:r>
      <w:proofErr w:type="spellStart"/>
      <w:r w:rsidRPr="00FF4A06">
        <w:rPr>
          <w:rFonts w:ascii="Arial" w:eastAsiaTheme="minorHAnsi" w:hAnsi="Arial" w:cs="Arial"/>
          <w:b/>
          <w:bCs/>
          <w:i/>
          <w:iCs/>
          <w:color w:val="0070C0"/>
          <w:sz w:val="23"/>
          <w:szCs w:val="23"/>
        </w:rPr>
        <w:t>Translokator</w:t>
      </w:r>
      <w:proofErr w:type="spellEnd"/>
      <w:r w:rsidRPr="00FF4A06">
        <w:rPr>
          <w:rFonts w:ascii="Arial" w:eastAsiaTheme="minorHAnsi" w:hAnsi="Arial" w:cs="Arial"/>
          <w:b/>
          <w:bCs/>
          <w:i/>
          <w:iCs/>
          <w:color w:val="0070C0"/>
          <w:sz w:val="23"/>
          <w:szCs w:val="23"/>
        </w:rPr>
        <w:t xml:space="preserve"> naczyń - 6 szt. </w:t>
      </w:r>
    </w:p>
    <w:p w:rsidR="00956290" w:rsidRPr="00FF4A06" w:rsidRDefault="00FF4A06" w:rsidP="00FF4A06">
      <w:pPr>
        <w:pStyle w:val="Bezodstpw"/>
        <w:jc w:val="both"/>
        <w:rPr>
          <w:rFonts w:ascii="Arial" w:hAnsi="Arial" w:cs="Arial"/>
          <w:color w:val="0070C0"/>
          <w:sz w:val="23"/>
          <w:szCs w:val="23"/>
        </w:rPr>
      </w:pPr>
      <w:r w:rsidRPr="00FF4A06">
        <w:rPr>
          <w:rFonts w:ascii="Arial" w:hAnsi="Arial" w:cs="Arial"/>
          <w:b/>
          <w:bCs/>
          <w:color w:val="0070C0"/>
          <w:sz w:val="23"/>
          <w:szCs w:val="23"/>
        </w:rPr>
        <w:t xml:space="preserve">Wspólny Słownik Zamówień: </w:t>
      </w:r>
      <w:r w:rsidRPr="00FF4A06">
        <w:rPr>
          <w:rFonts w:ascii="Arial" w:hAnsi="Arial" w:cs="Arial"/>
          <w:color w:val="0070C0"/>
          <w:sz w:val="23"/>
          <w:szCs w:val="23"/>
        </w:rPr>
        <w:t>33100000-1 - Urządzenia medyczne</w:t>
      </w:r>
    </w:p>
    <w:p w:rsidR="00FF4A06" w:rsidRPr="00FF4A06" w:rsidRDefault="00FF4A06" w:rsidP="00FF4A06">
      <w:pPr>
        <w:pStyle w:val="Bezodstpw"/>
        <w:jc w:val="both"/>
        <w:rPr>
          <w:rFonts w:ascii="Arial" w:hAnsi="Arial" w:cs="Arial"/>
          <w:color w:val="0070C0"/>
          <w:sz w:val="23"/>
          <w:szCs w:val="23"/>
        </w:rPr>
      </w:pPr>
      <w:r w:rsidRPr="00FF4A06">
        <w:rPr>
          <w:rFonts w:ascii="Arial" w:hAnsi="Arial" w:cs="Arial"/>
          <w:b/>
          <w:bCs/>
          <w:color w:val="0070C0"/>
          <w:sz w:val="23"/>
          <w:szCs w:val="23"/>
        </w:rPr>
        <w:t xml:space="preserve">Opis: </w:t>
      </w:r>
      <w:r w:rsidRPr="00FF4A06">
        <w:rPr>
          <w:rFonts w:ascii="Arial" w:hAnsi="Arial" w:cs="Arial"/>
          <w:color w:val="0070C0"/>
          <w:sz w:val="23"/>
          <w:szCs w:val="23"/>
        </w:rPr>
        <w:t xml:space="preserve">urządzenie lokalizujące naczynie krwionośne oraz podświetlające je. </w:t>
      </w:r>
    </w:p>
    <w:p w:rsidR="00FF4A06" w:rsidRPr="00FF4A06" w:rsidRDefault="00FF4A06" w:rsidP="00FF4A06">
      <w:pPr>
        <w:pStyle w:val="Bezodstpw"/>
        <w:jc w:val="both"/>
        <w:rPr>
          <w:rFonts w:ascii="Arial" w:hAnsi="Arial" w:cs="Arial"/>
          <w:color w:val="0070C0"/>
          <w:sz w:val="23"/>
          <w:szCs w:val="23"/>
        </w:rPr>
      </w:pPr>
      <w:r w:rsidRPr="00FF4A06">
        <w:rPr>
          <w:rFonts w:ascii="Arial" w:hAnsi="Arial" w:cs="Arial"/>
          <w:color w:val="0070C0"/>
          <w:sz w:val="23"/>
          <w:szCs w:val="23"/>
        </w:rPr>
        <w:t xml:space="preserve">Wykorzystywane do tego jest podczerwień lub laser lub LED, który dokonuje "mapowania naczyń". Wyposażony jest w dwa niezależne źródła emisji światła (np. bliska podczerwień/ bliska podczerwień), które pozwalają na poprawne wyświetlanie mapy w każdych warunkach w tym możliwość projekcji w 5 kolorach i 4 poziomach jasności. Wyposażony jest trybu pomiaru i wskazania głębokości położenia żył, a także panel z kolorowymi diodami i wyświetlaczem ułatwiający pracę personelowi medycznemu wybór odpowiednich funkcji i co oczywiste sam proces wkłucia. Dotykowy Panel pozwala na wybieranie nie tylko </w:t>
      </w:r>
      <w:proofErr w:type="spellStart"/>
      <w:r w:rsidRPr="00FF4A06">
        <w:rPr>
          <w:rFonts w:ascii="Arial" w:hAnsi="Arial" w:cs="Arial"/>
          <w:color w:val="0070C0"/>
          <w:sz w:val="23"/>
          <w:szCs w:val="23"/>
        </w:rPr>
        <w:t>instensywności</w:t>
      </w:r>
      <w:proofErr w:type="spellEnd"/>
      <w:r w:rsidRPr="00FF4A06">
        <w:rPr>
          <w:rFonts w:ascii="Arial" w:hAnsi="Arial" w:cs="Arial"/>
          <w:color w:val="0070C0"/>
          <w:sz w:val="23"/>
          <w:szCs w:val="23"/>
        </w:rPr>
        <w:t xml:space="preserve"> projekcji, ale także wielkości okna wyświetlania, możliwości ustawienia trybu pozwalającego dobranie ostrości projekcji, wybór koloru projekcji, możliwość odwrócenia barw i inne. Ma możliwość zastosowania systemów zapobiegających upadkowi urządzenia </w:t>
      </w:r>
      <w:r w:rsidRPr="00FF4A06">
        <w:rPr>
          <w:rFonts w:ascii="Arial" w:hAnsi="Arial" w:cs="Arial"/>
          <w:color w:val="0070C0"/>
          <w:sz w:val="23"/>
          <w:szCs w:val="23"/>
        </w:rPr>
        <w:br/>
        <w:t>w wypadku wyślizgnięcia się z ręki operatora, co zabezpiecza urządzenie przed uszkodzeniami mechanicznymi oraz co za tym idzie kosztami pozagwarancyjnej naprawy. Wyposażony jest w kolorowy wyświetlacz lub panel z kolorowymi diodami i wyświetlaczem min 1,2” z wbudowanym wyświetlaczem oraz przyciski funkcyjne pozwalające na regulację intensywności projekcji, limitu czasu projekcji itp.; urządzenie na podstawie jezdnej oraz z ładowarką, ładowany akumulatorowo, czas pracy 8h lub minimum 2,5h pracy z możliwością doładowywania podczas pracy, czas ładowania nie większy niż 4 godziny, akumulator litowo-jonowy.</w:t>
      </w:r>
    </w:p>
    <w:p w:rsidR="00FF4A06" w:rsidRPr="00FF4A06" w:rsidRDefault="00FF4A06" w:rsidP="00FF4A06">
      <w:pPr>
        <w:pStyle w:val="Bezodstpw"/>
        <w:jc w:val="both"/>
        <w:rPr>
          <w:rFonts w:ascii="Arial" w:hAnsi="Arial" w:cs="Arial"/>
          <w:color w:val="0070C0"/>
          <w:sz w:val="23"/>
          <w:szCs w:val="23"/>
        </w:rPr>
      </w:pPr>
    </w:p>
    <w:p w:rsidR="00FF4A06" w:rsidRPr="00FF4A06" w:rsidRDefault="00FF4A06" w:rsidP="00FF4A06">
      <w:pPr>
        <w:pStyle w:val="Bezodstpw"/>
        <w:jc w:val="both"/>
        <w:rPr>
          <w:rFonts w:ascii="Arial" w:hAnsi="Arial" w:cs="Arial"/>
          <w:color w:val="0070C0"/>
          <w:sz w:val="23"/>
          <w:szCs w:val="23"/>
        </w:rPr>
      </w:pPr>
      <w:r w:rsidRPr="00FF4A06">
        <w:rPr>
          <w:rFonts w:ascii="Arial" w:hAnsi="Arial" w:cs="Arial"/>
          <w:color w:val="0070C0"/>
          <w:sz w:val="23"/>
          <w:szCs w:val="23"/>
        </w:rPr>
        <w:t>Oferowany przez Wykonawcę przedmiot zamówienia musi być zgodny z opisem, kompletny i po zamontowaniu/zainstalowaniu/ustawieniu gotowy do pracy bez żadnych dodatkowych zakupów i inwestycji.</w:t>
      </w:r>
    </w:p>
    <w:p w:rsidR="00FF4A06" w:rsidRPr="00FF4A06" w:rsidRDefault="00FF4A06" w:rsidP="00FF4A06">
      <w:pPr>
        <w:pStyle w:val="Bezodstpw"/>
        <w:jc w:val="both"/>
        <w:rPr>
          <w:rFonts w:ascii="Arial" w:hAnsi="Arial" w:cs="Arial"/>
          <w:color w:val="0070C0"/>
          <w:sz w:val="23"/>
          <w:szCs w:val="23"/>
        </w:rPr>
      </w:pPr>
    </w:p>
    <w:p w:rsidR="00FF4A06" w:rsidRPr="00FF4A06" w:rsidRDefault="00FF4A06" w:rsidP="00FF4A06">
      <w:pPr>
        <w:autoSpaceDE w:val="0"/>
        <w:autoSpaceDN w:val="0"/>
        <w:adjustRightInd w:val="0"/>
        <w:spacing w:after="0" w:line="240" w:lineRule="auto"/>
        <w:jc w:val="both"/>
        <w:rPr>
          <w:rFonts w:ascii="Arial" w:eastAsiaTheme="minorHAnsi" w:hAnsi="Arial" w:cs="Arial"/>
          <w:color w:val="0070C0"/>
          <w:sz w:val="23"/>
          <w:szCs w:val="23"/>
        </w:rPr>
      </w:pPr>
      <w:r w:rsidRPr="00FF4A06">
        <w:rPr>
          <w:rFonts w:ascii="Arial" w:eastAsiaTheme="minorHAnsi" w:hAnsi="Arial" w:cs="Arial"/>
          <w:color w:val="0070C0"/>
          <w:sz w:val="23"/>
          <w:szCs w:val="23"/>
        </w:rPr>
        <w:t xml:space="preserve">Wykonawca musi dostarczyć przedmiot zamówienia wyłącznie fabrycznie nowy, nieregenerowany, </w:t>
      </w:r>
      <w:proofErr w:type="spellStart"/>
      <w:r w:rsidRPr="00FF4A06">
        <w:rPr>
          <w:rFonts w:ascii="Arial" w:eastAsiaTheme="minorHAnsi" w:hAnsi="Arial" w:cs="Arial"/>
          <w:color w:val="0070C0"/>
          <w:sz w:val="23"/>
          <w:szCs w:val="23"/>
        </w:rPr>
        <w:t>niepowystawowy</w:t>
      </w:r>
      <w:proofErr w:type="spellEnd"/>
      <w:r w:rsidRPr="00FF4A06">
        <w:rPr>
          <w:rFonts w:ascii="Arial" w:eastAsiaTheme="minorHAnsi" w:hAnsi="Arial" w:cs="Arial"/>
          <w:color w:val="0070C0"/>
          <w:sz w:val="23"/>
          <w:szCs w:val="23"/>
        </w:rPr>
        <w:t xml:space="preserve">, w stanie kompletnym tj. gwarantującym jego stosowanie zgodnie z przeznaczeniem bez dokonywania dodatkowych zakupów elementów i akcesoriów. </w:t>
      </w:r>
    </w:p>
    <w:p w:rsidR="00FF4A06" w:rsidRPr="00FF4A06" w:rsidRDefault="00FF4A06" w:rsidP="00FF4A06">
      <w:pPr>
        <w:autoSpaceDE w:val="0"/>
        <w:autoSpaceDN w:val="0"/>
        <w:adjustRightInd w:val="0"/>
        <w:spacing w:after="0" w:line="240" w:lineRule="auto"/>
        <w:jc w:val="both"/>
        <w:rPr>
          <w:rFonts w:ascii="Arial" w:eastAsiaTheme="minorHAnsi" w:hAnsi="Arial" w:cs="Arial"/>
          <w:color w:val="0070C0"/>
          <w:sz w:val="23"/>
          <w:szCs w:val="23"/>
        </w:rPr>
      </w:pPr>
      <w:r w:rsidRPr="00FF4A06">
        <w:rPr>
          <w:rFonts w:ascii="Arial" w:eastAsiaTheme="minorHAnsi" w:hAnsi="Arial" w:cs="Arial"/>
          <w:color w:val="0070C0"/>
          <w:sz w:val="23"/>
          <w:szCs w:val="23"/>
        </w:rPr>
        <w:t xml:space="preserve">Wymaganie jest dostarczenie instrukcji obsługi i konserwacji – najpóźniej w dniu zawarcia umowy. </w:t>
      </w:r>
    </w:p>
    <w:p w:rsidR="00FF4A06" w:rsidRPr="00FF4A06" w:rsidRDefault="00FF4A06" w:rsidP="00FF4A06">
      <w:pPr>
        <w:autoSpaceDE w:val="0"/>
        <w:autoSpaceDN w:val="0"/>
        <w:adjustRightInd w:val="0"/>
        <w:spacing w:after="0" w:line="240" w:lineRule="auto"/>
        <w:jc w:val="both"/>
        <w:rPr>
          <w:rFonts w:ascii="Arial" w:eastAsiaTheme="minorHAnsi" w:hAnsi="Arial" w:cs="Arial"/>
          <w:color w:val="0070C0"/>
          <w:sz w:val="23"/>
          <w:szCs w:val="23"/>
        </w:rPr>
      </w:pPr>
    </w:p>
    <w:p w:rsidR="00FF4A06" w:rsidRPr="00FF4A06" w:rsidRDefault="00FF4A06" w:rsidP="00FF4A06">
      <w:pPr>
        <w:autoSpaceDE w:val="0"/>
        <w:autoSpaceDN w:val="0"/>
        <w:adjustRightInd w:val="0"/>
        <w:spacing w:after="0" w:line="240" w:lineRule="auto"/>
        <w:rPr>
          <w:rFonts w:ascii="Arial" w:eastAsiaTheme="minorHAnsi" w:hAnsi="Arial" w:cs="Arial"/>
          <w:color w:val="0070C0"/>
          <w:sz w:val="23"/>
          <w:szCs w:val="23"/>
        </w:rPr>
      </w:pPr>
      <w:r w:rsidRPr="00FF4A06">
        <w:rPr>
          <w:rFonts w:ascii="Arial" w:eastAsiaTheme="minorHAnsi" w:hAnsi="Arial" w:cs="Arial"/>
          <w:color w:val="0070C0"/>
          <w:sz w:val="23"/>
          <w:szCs w:val="23"/>
        </w:rPr>
        <w:lastRenderedPageBreak/>
        <w:t xml:space="preserve">Zamawiający określa minimalny wymagany </w:t>
      </w:r>
      <w:r w:rsidRPr="00FF4A06">
        <w:rPr>
          <w:rFonts w:ascii="Arial" w:eastAsiaTheme="minorHAnsi" w:hAnsi="Arial" w:cs="Arial"/>
          <w:b/>
          <w:bCs/>
          <w:color w:val="0070C0"/>
          <w:sz w:val="23"/>
          <w:szCs w:val="23"/>
        </w:rPr>
        <w:t xml:space="preserve">24 - miesięczny okres gwarancji </w:t>
      </w:r>
      <w:r w:rsidRPr="00FF4A06">
        <w:rPr>
          <w:rFonts w:ascii="Arial" w:eastAsiaTheme="minorHAnsi" w:hAnsi="Arial" w:cs="Arial"/>
          <w:color w:val="0070C0"/>
          <w:sz w:val="23"/>
          <w:szCs w:val="23"/>
        </w:rPr>
        <w:t xml:space="preserve">liczony od dnia końcowego odbioru robót (zgodnie z protokołem końcowym). </w:t>
      </w:r>
    </w:p>
    <w:p w:rsidR="00FF4A06" w:rsidRDefault="00FF4A06" w:rsidP="00FF4A06">
      <w:pPr>
        <w:autoSpaceDE w:val="0"/>
        <w:autoSpaceDN w:val="0"/>
        <w:adjustRightInd w:val="0"/>
        <w:spacing w:after="0" w:line="240" w:lineRule="auto"/>
        <w:rPr>
          <w:rFonts w:ascii="Arial" w:eastAsiaTheme="minorHAnsi" w:hAnsi="Arial" w:cs="Arial"/>
          <w:b/>
          <w:bCs/>
          <w:color w:val="0070C0"/>
          <w:sz w:val="23"/>
          <w:szCs w:val="23"/>
        </w:rPr>
      </w:pPr>
    </w:p>
    <w:p w:rsidR="00FF4A06" w:rsidRPr="00FF4A06" w:rsidRDefault="00FF4A06" w:rsidP="00FF4A06">
      <w:pPr>
        <w:autoSpaceDE w:val="0"/>
        <w:autoSpaceDN w:val="0"/>
        <w:adjustRightInd w:val="0"/>
        <w:spacing w:after="0" w:line="240" w:lineRule="auto"/>
        <w:rPr>
          <w:rFonts w:ascii="Arial" w:eastAsiaTheme="minorHAnsi" w:hAnsi="Arial" w:cs="Arial"/>
          <w:color w:val="0070C0"/>
          <w:sz w:val="23"/>
          <w:szCs w:val="23"/>
        </w:rPr>
      </w:pPr>
      <w:r w:rsidRPr="00FF4A06">
        <w:rPr>
          <w:rFonts w:ascii="Arial" w:eastAsiaTheme="minorHAnsi" w:hAnsi="Arial" w:cs="Arial"/>
          <w:b/>
          <w:bCs/>
          <w:color w:val="0070C0"/>
          <w:sz w:val="23"/>
          <w:szCs w:val="23"/>
        </w:rPr>
        <w:t xml:space="preserve">Zamawiający dopuszcza składanie ofert równoważnych. </w:t>
      </w:r>
    </w:p>
    <w:p w:rsidR="00FF4A06" w:rsidRPr="00FF4A06" w:rsidRDefault="00FF4A06" w:rsidP="00FF4A06">
      <w:pPr>
        <w:autoSpaceDE w:val="0"/>
        <w:autoSpaceDN w:val="0"/>
        <w:adjustRightInd w:val="0"/>
        <w:spacing w:after="0" w:line="240" w:lineRule="auto"/>
        <w:rPr>
          <w:rFonts w:ascii="Arial" w:eastAsiaTheme="minorHAnsi" w:hAnsi="Arial" w:cs="Arial"/>
          <w:color w:val="0070C0"/>
          <w:sz w:val="23"/>
          <w:szCs w:val="23"/>
        </w:rPr>
      </w:pPr>
      <w:r w:rsidRPr="00FF4A06">
        <w:rPr>
          <w:rFonts w:ascii="Arial" w:eastAsiaTheme="minorHAnsi" w:hAnsi="Arial" w:cs="Arial"/>
          <w:color w:val="0070C0"/>
          <w:sz w:val="23"/>
          <w:szCs w:val="23"/>
        </w:rPr>
        <w:t xml:space="preserve">Informacje dotyczące oferty wariantowej, o której mowa w art. 92 ustawy Pzp: </w:t>
      </w:r>
    </w:p>
    <w:p w:rsidR="00FF4A06" w:rsidRDefault="00FF4A06" w:rsidP="00FF4A06">
      <w:pPr>
        <w:pStyle w:val="Bezodstpw"/>
        <w:jc w:val="both"/>
        <w:rPr>
          <w:rFonts w:ascii="Arial" w:hAnsi="Arial" w:cs="Arial"/>
          <w:b/>
          <w:bCs/>
          <w:color w:val="0070C0"/>
          <w:sz w:val="23"/>
          <w:szCs w:val="23"/>
        </w:rPr>
      </w:pPr>
    </w:p>
    <w:p w:rsidR="00FF4A06" w:rsidRPr="00FF4A06" w:rsidRDefault="00FF4A06" w:rsidP="00FF4A06">
      <w:pPr>
        <w:pStyle w:val="Bezodstpw"/>
        <w:jc w:val="both"/>
        <w:rPr>
          <w:rFonts w:ascii="Arial" w:eastAsia="Calibri" w:hAnsi="Arial" w:cs="Arial"/>
          <w:color w:val="0070C0"/>
          <w:lang w:eastAsia="pl-PL"/>
        </w:rPr>
      </w:pPr>
      <w:r w:rsidRPr="00FF4A06">
        <w:rPr>
          <w:rFonts w:ascii="Arial" w:hAnsi="Arial" w:cs="Arial"/>
          <w:b/>
          <w:bCs/>
          <w:color w:val="0070C0"/>
          <w:sz w:val="23"/>
          <w:szCs w:val="23"/>
        </w:rPr>
        <w:t>Zamawiający nie dopuszcza składania ofert wariantowych</w:t>
      </w:r>
      <w:r w:rsidRPr="00FF4A06">
        <w:rPr>
          <w:rFonts w:ascii="Arial" w:hAnsi="Arial" w:cs="Arial"/>
          <w:color w:val="0070C0"/>
          <w:sz w:val="23"/>
          <w:szCs w:val="23"/>
        </w:rPr>
        <w:t>.</w:t>
      </w:r>
    </w:p>
    <w:p w:rsidR="00FF4A06" w:rsidRDefault="00FF4A06" w:rsidP="00A57D9A">
      <w:pPr>
        <w:pStyle w:val="Bezodstpw"/>
        <w:jc w:val="both"/>
        <w:rPr>
          <w:rFonts w:ascii="Arial" w:eastAsia="Calibri" w:hAnsi="Arial" w:cs="Arial"/>
          <w:color w:val="0070C0"/>
          <w:lang w:eastAsia="pl-PL"/>
        </w:rPr>
      </w:pPr>
    </w:p>
    <w:p w:rsidR="00A57D9A" w:rsidRDefault="00956290" w:rsidP="00A57D9A">
      <w:pPr>
        <w:jc w:val="both"/>
        <w:rPr>
          <w:rFonts w:ascii="Arial" w:hAnsi="Arial" w:cs="Arial"/>
          <w:b/>
          <w:color w:val="000000"/>
        </w:rPr>
      </w:pPr>
      <w:r>
        <w:rPr>
          <w:rFonts w:ascii="Arial" w:hAnsi="Arial" w:cs="Arial"/>
          <w:b/>
          <w:color w:val="000000"/>
        </w:rPr>
        <w:t xml:space="preserve">Pytanie </w:t>
      </w:r>
      <w:r w:rsidR="00FF4A06">
        <w:rPr>
          <w:rFonts w:ascii="Arial" w:hAnsi="Arial" w:cs="Arial"/>
          <w:b/>
          <w:color w:val="000000"/>
        </w:rPr>
        <w:t>41</w:t>
      </w:r>
      <w:r w:rsidR="00BD1806" w:rsidRPr="00BD1806">
        <w:rPr>
          <w:rFonts w:ascii="Arial" w:hAnsi="Arial" w:cs="Arial"/>
          <w:b/>
          <w:color w:val="000000"/>
        </w:rPr>
        <w:t>:</w:t>
      </w:r>
      <w:r w:rsidR="0051313A">
        <w:rPr>
          <w:rFonts w:ascii="Arial" w:hAnsi="Arial" w:cs="Arial"/>
          <w:b/>
          <w:color w:val="000000"/>
        </w:rPr>
        <w:t xml:space="preserve"> </w:t>
      </w:r>
    </w:p>
    <w:p w:rsidR="00956290" w:rsidRPr="00956290" w:rsidRDefault="00956290" w:rsidP="00A57D9A">
      <w:pPr>
        <w:jc w:val="both"/>
        <w:rPr>
          <w:rFonts w:ascii="Arial" w:hAnsi="Arial" w:cs="Arial"/>
        </w:rPr>
      </w:pPr>
      <w:r w:rsidRPr="00956290">
        <w:rPr>
          <w:rFonts w:ascii="Arial" w:hAnsi="Arial" w:cs="Arial"/>
        </w:rPr>
        <w:t xml:space="preserve">Czy Zamawiający dopuści do zaoferowania lokalizator żylny- urządzenie równoważne, którego waga wynosi 350 g? Niższa waga przy nowoczesnej konstrukcji jest parametrem lepszym od wymaganego i w istotny sposób przekłada się na lepszy komfort pracy z urządzeniem dla użytkownika. </w:t>
      </w:r>
    </w:p>
    <w:p w:rsidR="00BD1806" w:rsidRPr="00956290" w:rsidRDefault="00BD1806" w:rsidP="00BD1806">
      <w:pPr>
        <w:pStyle w:val="Bezodstpw"/>
        <w:jc w:val="both"/>
        <w:rPr>
          <w:rFonts w:ascii="Arial" w:eastAsia="Calibri" w:hAnsi="Arial" w:cs="Arial"/>
          <w:b/>
          <w:color w:val="0070C0"/>
          <w:u w:val="single"/>
          <w:lang w:eastAsia="pl-PL"/>
        </w:rPr>
      </w:pPr>
      <w:r w:rsidRPr="00956290">
        <w:rPr>
          <w:rFonts w:ascii="Arial" w:eastAsia="Calibri" w:hAnsi="Arial" w:cs="Arial"/>
          <w:b/>
          <w:color w:val="0070C0"/>
          <w:u w:val="single"/>
          <w:lang w:eastAsia="pl-PL"/>
        </w:rPr>
        <w:t>Odpowiedź:</w:t>
      </w:r>
    </w:p>
    <w:p w:rsidR="00441C4E" w:rsidRPr="00441C4E" w:rsidRDefault="00441C4E" w:rsidP="00BD1806">
      <w:pPr>
        <w:jc w:val="both"/>
        <w:rPr>
          <w:rFonts w:ascii="Arial" w:hAnsi="Arial" w:cs="Arial"/>
          <w:b/>
          <w:color w:val="0070C0"/>
        </w:rPr>
      </w:pPr>
      <w:r w:rsidRPr="00441C4E">
        <w:rPr>
          <w:rFonts w:ascii="Arial" w:hAnsi="Arial" w:cs="Arial"/>
          <w:color w:val="0070C0"/>
        </w:rPr>
        <w:t>Zamawiający dopuści do zaoferowania lokalizator żylny- urządzenie równoważne, którego waga wynosi 350 g.</w:t>
      </w:r>
    </w:p>
    <w:p w:rsidR="00BD1806" w:rsidRPr="00956290" w:rsidRDefault="00FF4A06" w:rsidP="00BD1806">
      <w:pPr>
        <w:jc w:val="both"/>
        <w:rPr>
          <w:rFonts w:ascii="Arial" w:hAnsi="Arial" w:cs="Arial"/>
          <w:b/>
          <w:color w:val="000000"/>
        </w:rPr>
      </w:pPr>
      <w:r>
        <w:rPr>
          <w:rFonts w:ascii="Arial" w:hAnsi="Arial" w:cs="Arial"/>
          <w:b/>
          <w:color w:val="000000"/>
        </w:rPr>
        <w:t>Pytanie 42</w:t>
      </w:r>
      <w:r w:rsidR="00BD1806" w:rsidRPr="00956290">
        <w:rPr>
          <w:rFonts w:ascii="Arial" w:hAnsi="Arial" w:cs="Arial"/>
          <w:b/>
          <w:color w:val="000000"/>
        </w:rPr>
        <w:t>:</w:t>
      </w:r>
      <w:r w:rsidR="0051313A" w:rsidRPr="00956290">
        <w:rPr>
          <w:rFonts w:ascii="Arial" w:hAnsi="Arial" w:cs="Arial"/>
          <w:b/>
          <w:color w:val="000000"/>
        </w:rPr>
        <w:t xml:space="preserve"> </w:t>
      </w:r>
    </w:p>
    <w:p w:rsidR="00956290" w:rsidRPr="00956290" w:rsidRDefault="00956290" w:rsidP="00956290">
      <w:pPr>
        <w:jc w:val="both"/>
        <w:rPr>
          <w:rFonts w:ascii="Arial" w:hAnsi="Arial" w:cs="Arial"/>
          <w:b/>
          <w:color w:val="000000"/>
        </w:rPr>
      </w:pPr>
      <w:r w:rsidRPr="00956290">
        <w:rPr>
          <w:rFonts w:ascii="Arial" w:hAnsi="Arial" w:cs="Arial"/>
        </w:rPr>
        <w:t xml:space="preserve">W opisie przedmiotu zamówienia Zamawiający określił wymóg minimalnej rozdzielczości obrazu na 856 x 480 pikseli. Standardowa rozdzielczość obrazu 480p-16:9 </w:t>
      </w:r>
      <w:r w:rsidR="00FF4A06">
        <w:rPr>
          <w:rFonts w:ascii="Arial" w:hAnsi="Arial" w:cs="Arial"/>
        </w:rPr>
        <w:br/>
      </w:r>
      <w:r w:rsidRPr="00956290">
        <w:rPr>
          <w:rFonts w:ascii="Arial" w:hAnsi="Arial" w:cs="Arial"/>
        </w:rPr>
        <w:t xml:space="preserve">ma rozdzielczość 854 x480 pikseli. Różnica dwóch pikseli w opisie wynika być może </w:t>
      </w:r>
      <w:r w:rsidR="00FF4A06">
        <w:rPr>
          <w:rFonts w:ascii="Arial" w:hAnsi="Arial" w:cs="Arial"/>
        </w:rPr>
        <w:br/>
      </w:r>
      <w:r w:rsidRPr="00956290">
        <w:rPr>
          <w:rFonts w:ascii="Arial" w:hAnsi="Arial" w:cs="Arial"/>
        </w:rPr>
        <w:t>z drobnej omyłki pisarskiej. Prosimy o potwierdzenie, czy Zamawiający wymaga rozdzielczości obrazu min. 854x480 pikseli, stanowiącej międzynarodowy standard formatu 480p dla urządzeń optycznych i video.</w:t>
      </w:r>
    </w:p>
    <w:p w:rsidR="00BD1806" w:rsidRPr="00956290" w:rsidRDefault="00BD1806" w:rsidP="00BD1806">
      <w:pPr>
        <w:pStyle w:val="Bezodstpw"/>
        <w:jc w:val="both"/>
        <w:rPr>
          <w:rFonts w:ascii="Arial" w:eastAsia="Calibri" w:hAnsi="Arial" w:cs="Arial"/>
          <w:b/>
          <w:color w:val="0070C0"/>
          <w:u w:val="single"/>
          <w:lang w:eastAsia="pl-PL"/>
        </w:rPr>
      </w:pPr>
      <w:r w:rsidRPr="00956290">
        <w:rPr>
          <w:rFonts w:ascii="Arial" w:eastAsia="Calibri" w:hAnsi="Arial" w:cs="Arial"/>
          <w:b/>
          <w:color w:val="0070C0"/>
          <w:u w:val="single"/>
          <w:lang w:eastAsia="pl-PL"/>
        </w:rPr>
        <w:t>Odpowiedź:</w:t>
      </w:r>
    </w:p>
    <w:p w:rsidR="00441C4E" w:rsidRPr="00441C4E" w:rsidRDefault="00441C4E" w:rsidP="005112D2">
      <w:pPr>
        <w:spacing w:line="256" w:lineRule="auto"/>
        <w:contextualSpacing/>
        <w:jc w:val="both"/>
        <w:rPr>
          <w:rFonts w:ascii="Arial" w:hAnsi="Arial" w:cs="Arial"/>
          <w:bCs/>
          <w:color w:val="0070C0"/>
        </w:rPr>
      </w:pPr>
      <w:r w:rsidRPr="00441C4E">
        <w:rPr>
          <w:rFonts w:ascii="Arial" w:hAnsi="Arial" w:cs="Arial"/>
          <w:color w:val="0070C0"/>
        </w:rPr>
        <w:t>Zamawiający wymaga rozdzielczości obrazu min. 854x480 pikseli, stanowiącej międzynarodowy standard formatu 480p dla urządzeń optycznych i video.</w:t>
      </w:r>
    </w:p>
    <w:p w:rsidR="00956290" w:rsidRDefault="00956290" w:rsidP="00956290">
      <w:pPr>
        <w:autoSpaceDE w:val="0"/>
        <w:autoSpaceDN w:val="0"/>
        <w:adjustRightInd w:val="0"/>
        <w:spacing w:after="0" w:line="240" w:lineRule="auto"/>
        <w:jc w:val="both"/>
        <w:rPr>
          <w:rFonts w:ascii="Arial" w:eastAsiaTheme="minorHAnsi" w:hAnsi="Arial" w:cs="Arial"/>
          <w:color w:val="000000"/>
        </w:rPr>
      </w:pPr>
    </w:p>
    <w:p w:rsidR="004D5699" w:rsidRPr="00915335" w:rsidRDefault="004D5699" w:rsidP="004D5699">
      <w:pPr>
        <w:pStyle w:val="pkt"/>
        <w:autoSpaceDE w:val="0"/>
        <w:autoSpaceDN w:val="0"/>
        <w:spacing w:before="0" w:after="0"/>
        <w:ind w:left="0" w:firstLine="0"/>
        <w:rPr>
          <w:rFonts w:ascii="Arial" w:hAnsi="Arial" w:cs="Arial"/>
          <w:color w:val="4F81BD"/>
          <w:sz w:val="22"/>
          <w:szCs w:val="22"/>
          <w:u w:val="single"/>
        </w:rPr>
      </w:pPr>
      <w:r>
        <w:rPr>
          <w:rFonts w:ascii="Arial" w:hAnsi="Arial" w:cs="Arial"/>
          <w:sz w:val="22"/>
          <w:szCs w:val="22"/>
        </w:rPr>
        <w:t xml:space="preserve">Mając na uwadze powyższe </w:t>
      </w:r>
      <w:r w:rsidRPr="00915335">
        <w:rPr>
          <w:rFonts w:ascii="Arial" w:hAnsi="Arial" w:cs="Arial"/>
          <w:sz w:val="22"/>
          <w:szCs w:val="22"/>
        </w:rPr>
        <w:t xml:space="preserve">Zamawiający, Szpital Specjalistyczny w Chorzowie, działając na podstawie art. 286 ust. 1, 5, 6 i 7 ustawy Pzp, przedłuża termin składania ofert </w:t>
      </w:r>
      <w:r>
        <w:rPr>
          <w:rFonts w:ascii="Arial" w:hAnsi="Arial" w:cs="Arial"/>
          <w:sz w:val="22"/>
          <w:szCs w:val="22"/>
        </w:rPr>
        <w:t xml:space="preserve"> </w:t>
      </w:r>
      <w:r>
        <w:rPr>
          <w:rFonts w:ascii="Arial" w:hAnsi="Arial" w:cs="Arial"/>
          <w:sz w:val="22"/>
          <w:szCs w:val="22"/>
        </w:rPr>
        <w:br/>
      </w:r>
      <w:r w:rsidRPr="00915335">
        <w:rPr>
          <w:rFonts w:ascii="Arial" w:hAnsi="Arial" w:cs="Arial"/>
          <w:b/>
          <w:color w:val="0070C0"/>
          <w:sz w:val="22"/>
          <w:szCs w:val="22"/>
        </w:rPr>
        <w:t>do dni</w:t>
      </w:r>
      <w:r>
        <w:rPr>
          <w:rFonts w:ascii="Arial" w:hAnsi="Arial" w:cs="Arial"/>
          <w:b/>
          <w:color w:val="0070C0"/>
          <w:sz w:val="22"/>
          <w:szCs w:val="22"/>
        </w:rPr>
        <w:t>a 07.02.2022r. do godz. 10</w:t>
      </w:r>
      <w:r w:rsidRPr="00915335">
        <w:rPr>
          <w:rFonts w:ascii="Arial" w:hAnsi="Arial" w:cs="Arial"/>
          <w:b/>
          <w:color w:val="0070C0"/>
          <w:sz w:val="22"/>
          <w:szCs w:val="22"/>
        </w:rPr>
        <w:t>:00,</w:t>
      </w:r>
      <w:r w:rsidRPr="00915335">
        <w:rPr>
          <w:rFonts w:ascii="Arial" w:hAnsi="Arial" w:cs="Arial"/>
          <w:sz w:val="22"/>
          <w:szCs w:val="22"/>
        </w:rPr>
        <w:t xml:space="preserve"> natomiast termin otwarcia ofert zmienia się</w:t>
      </w:r>
      <w:r w:rsidRPr="00915335">
        <w:rPr>
          <w:rFonts w:ascii="Arial" w:hAnsi="Arial" w:cs="Arial"/>
          <w:color w:val="0070C0"/>
          <w:sz w:val="22"/>
          <w:szCs w:val="22"/>
        </w:rPr>
        <w:t xml:space="preserve"> </w:t>
      </w:r>
      <w:r>
        <w:rPr>
          <w:rFonts w:ascii="Arial" w:hAnsi="Arial" w:cs="Arial"/>
          <w:color w:val="0070C0"/>
          <w:sz w:val="22"/>
          <w:szCs w:val="22"/>
        </w:rPr>
        <w:br/>
      </w:r>
      <w:r>
        <w:rPr>
          <w:rFonts w:ascii="Arial" w:hAnsi="Arial" w:cs="Arial"/>
          <w:b/>
          <w:color w:val="0070C0"/>
          <w:sz w:val="22"/>
          <w:szCs w:val="22"/>
        </w:rPr>
        <w:t>na dzień 07.02.2022r. godz. 10</w:t>
      </w:r>
      <w:r w:rsidRPr="00915335">
        <w:rPr>
          <w:rFonts w:ascii="Arial" w:hAnsi="Arial" w:cs="Arial"/>
          <w:b/>
          <w:color w:val="0070C0"/>
          <w:sz w:val="22"/>
          <w:szCs w:val="22"/>
        </w:rPr>
        <w:t xml:space="preserve">:30. </w:t>
      </w:r>
      <w:r w:rsidRPr="00915335">
        <w:rPr>
          <w:rFonts w:ascii="Arial" w:hAnsi="Arial" w:cs="Arial"/>
          <w:sz w:val="22"/>
          <w:szCs w:val="22"/>
        </w:rPr>
        <w:t>Jednocześni</w:t>
      </w:r>
      <w:r>
        <w:rPr>
          <w:rFonts w:ascii="Arial" w:hAnsi="Arial" w:cs="Arial"/>
          <w:sz w:val="22"/>
          <w:szCs w:val="22"/>
        </w:rPr>
        <w:t xml:space="preserve">e Zamawiający zmienia treść SWZ </w:t>
      </w:r>
      <w:r w:rsidRPr="00915335">
        <w:rPr>
          <w:rFonts w:ascii="Arial" w:hAnsi="Arial" w:cs="Arial"/>
          <w:sz w:val="22"/>
          <w:szCs w:val="22"/>
        </w:rPr>
        <w:t>odpowiednio w Rozdziale 18 oraz w rozdziale 19 pkt. 19.1.</w:t>
      </w:r>
    </w:p>
    <w:p w:rsidR="004D5699" w:rsidRPr="00915335" w:rsidRDefault="004D5699" w:rsidP="004D5699">
      <w:pPr>
        <w:jc w:val="both"/>
        <w:rPr>
          <w:rFonts w:ascii="Arial" w:hAnsi="Arial" w:cs="Arial"/>
        </w:rPr>
      </w:pPr>
    </w:p>
    <w:p w:rsidR="004D5699" w:rsidRPr="00BD1806" w:rsidRDefault="004D5699" w:rsidP="004D5699">
      <w:pPr>
        <w:jc w:val="both"/>
        <w:rPr>
          <w:rFonts w:ascii="Arial" w:hAnsi="Arial" w:cs="Arial"/>
        </w:rPr>
      </w:pPr>
      <w:r w:rsidRPr="00915335">
        <w:rPr>
          <w:rFonts w:ascii="Arial" w:hAnsi="Arial" w:cs="Arial"/>
        </w:rPr>
        <w:t xml:space="preserve">Równocześnie Zamawiający zmienia treść Specyfikacji Warunków Zamówienia odpowiednio </w:t>
      </w:r>
      <w:r w:rsidRPr="00BD1806">
        <w:rPr>
          <w:rFonts w:ascii="Arial" w:hAnsi="Arial" w:cs="Arial"/>
          <w:u w:val="single"/>
        </w:rPr>
        <w:t>w Rozdziale 16 pkt. 16.1, tj. :</w:t>
      </w:r>
    </w:p>
    <w:p w:rsidR="004D5699" w:rsidRPr="00AF3308" w:rsidRDefault="004D5699" w:rsidP="004D5699">
      <w:pPr>
        <w:pStyle w:val="Bezodstpw"/>
        <w:rPr>
          <w:rFonts w:ascii="Arial" w:hAnsi="Arial" w:cs="Arial"/>
        </w:rPr>
      </w:pPr>
      <w:r w:rsidRPr="00AF3308">
        <w:rPr>
          <w:rFonts w:ascii="Arial" w:hAnsi="Arial" w:cs="Arial"/>
        </w:rPr>
        <w:t xml:space="preserve">Było :„Wykonawca pozostaje związany ofertą </w:t>
      </w:r>
      <w:r w:rsidR="007C7603" w:rsidRPr="007C7603">
        <w:rPr>
          <w:rFonts w:ascii="Arial" w:hAnsi="Arial" w:cs="Arial"/>
          <w:b/>
          <w:color w:val="000000" w:themeColor="text1"/>
        </w:rPr>
        <w:t>do dnia 5 marca 2022r</w:t>
      </w:r>
      <w:r w:rsidRPr="007C7603">
        <w:rPr>
          <w:rFonts w:ascii="Arial" w:hAnsi="Arial" w:cs="Arial"/>
          <w:b/>
          <w:color w:val="000000" w:themeColor="text1"/>
        </w:rPr>
        <w:t>.</w:t>
      </w:r>
      <w:r w:rsidRPr="007C7603">
        <w:rPr>
          <w:rFonts w:ascii="Arial" w:hAnsi="Arial" w:cs="Arial"/>
          <w:color w:val="000000" w:themeColor="text1"/>
        </w:rPr>
        <w:t>”</w:t>
      </w:r>
    </w:p>
    <w:p w:rsidR="004D5699" w:rsidRPr="00AF3308" w:rsidRDefault="004D5699" w:rsidP="004D5699">
      <w:pPr>
        <w:pStyle w:val="Bezodstpw"/>
        <w:rPr>
          <w:rFonts w:ascii="Arial" w:hAnsi="Arial" w:cs="Arial"/>
        </w:rPr>
      </w:pPr>
    </w:p>
    <w:p w:rsidR="004D5699" w:rsidRDefault="004D5699" w:rsidP="004D5699">
      <w:pPr>
        <w:pStyle w:val="Bezodstpw"/>
        <w:rPr>
          <w:rFonts w:ascii="Arial" w:hAnsi="Arial" w:cs="Arial"/>
        </w:rPr>
      </w:pPr>
      <w:r w:rsidRPr="00441C4E">
        <w:rPr>
          <w:rFonts w:ascii="Arial" w:hAnsi="Arial" w:cs="Arial"/>
        </w:rPr>
        <w:t xml:space="preserve">Jest :„Wykonawca pozostaje związany ofertą </w:t>
      </w:r>
      <w:r w:rsidR="00441C4E" w:rsidRPr="00441C4E">
        <w:rPr>
          <w:rFonts w:ascii="Arial" w:hAnsi="Arial" w:cs="Arial"/>
          <w:b/>
          <w:color w:val="0070C0"/>
        </w:rPr>
        <w:t xml:space="preserve">do dnia 8 </w:t>
      </w:r>
      <w:r w:rsidR="007C7603" w:rsidRPr="00441C4E">
        <w:rPr>
          <w:rFonts w:ascii="Arial" w:hAnsi="Arial" w:cs="Arial"/>
          <w:b/>
          <w:color w:val="0070C0"/>
        </w:rPr>
        <w:t>marca</w:t>
      </w:r>
      <w:r w:rsidRPr="00441C4E">
        <w:rPr>
          <w:rFonts w:ascii="Arial" w:hAnsi="Arial" w:cs="Arial"/>
          <w:b/>
          <w:color w:val="0070C0"/>
        </w:rPr>
        <w:t xml:space="preserve"> 2022r.</w:t>
      </w:r>
      <w:r w:rsidRPr="00441C4E">
        <w:rPr>
          <w:rFonts w:ascii="Arial" w:hAnsi="Arial" w:cs="Arial"/>
          <w:b/>
        </w:rPr>
        <w:t>”</w:t>
      </w:r>
    </w:p>
    <w:p w:rsidR="004D5699" w:rsidRDefault="004D5699" w:rsidP="004D5699">
      <w:pPr>
        <w:jc w:val="both"/>
        <w:rPr>
          <w:rFonts w:ascii="Arial" w:hAnsi="Arial" w:cs="Arial"/>
        </w:rPr>
      </w:pPr>
    </w:p>
    <w:p w:rsidR="00374436" w:rsidRDefault="004D5699" w:rsidP="004D5699">
      <w:pPr>
        <w:jc w:val="both"/>
        <w:rPr>
          <w:rFonts w:ascii="Arial" w:hAnsi="Arial" w:cs="Arial"/>
        </w:rPr>
      </w:pPr>
      <w:r w:rsidRPr="00445AB1">
        <w:rPr>
          <w:rFonts w:ascii="Arial" w:hAnsi="Arial" w:cs="Arial"/>
        </w:rPr>
        <w:t>Niniejsze wyjaśnienia stanowią integralną część postępowania, którego dotyczą</w:t>
      </w:r>
    </w:p>
    <w:p w:rsidR="004D5699" w:rsidRDefault="004D5699" w:rsidP="00FF100E">
      <w:pPr>
        <w:jc w:val="both"/>
        <w:rPr>
          <w:rFonts w:ascii="Arial" w:hAnsi="Arial" w:cs="Arial"/>
        </w:rPr>
      </w:pPr>
    </w:p>
    <w:p w:rsidR="004D5699" w:rsidRDefault="004D5699" w:rsidP="00FF100E">
      <w:pPr>
        <w:jc w:val="both"/>
        <w:rPr>
          <w:rFonts w:ascii="Arial" w:hAnsi="Arial" w:cs="Arial"/>
        </w:rPr>
      </w:pPr>
    </w:p>
    <w:p w:rsidR="00FF100E" w:rsidRPr="00445AB1" w:rsidRDefault="00FF100E" w:rsidP="00FF100E">
      <w:pPr>
        <w:jc w:val="both"/>
        <w:rPr>
          <w:rFonts w:ascii="Arial" w:hAnsi="Arial" w:cs="Arial"/>
        </w:rPr>
      </w:pPr>
      <w:r w:rsidRPr="00445AB1">
        <w:rPr>
          <w:rFonts w:ascii="Arial" w:hAnsi="Arial" w:cs="Arial"/>
        </w:rPr>
        <w:t>Niniejsze wyjaśnienia stanowią integralną część postępowania, którego dotyczą.</w:t>
      </w:r>
    </w:p>
    <w:p w:rsidR="0013388A" w:rsidRDefault="0013388A" w:rsidP="00B35CCE">
      <w:pPr>
        <w:jc w:val="both"/>
        <w:rPr>
          <w:rFonts w:ascii="Arial" w:hAnsi="Arial" w:cs="Arial"/>
        </w:rPr>
      </w:pPr>
    </w:p>
    <w:p w:rsidR="001E3615" w:rsidRDefault="001E3615" w:rsidP="001E3615">
      <w:pPr>
        <w:ind w:left="5664"/>
        <w:jc w:val="both"/>
        <w:rPr>
          <w:rFonts w:ascii="Arial" w:hAnsi="Arial" w:cs="Arial"/>
        </w:rPr>
      </w:pPr>
    </w:p>
    <w:p w:rsidR="00D1230C" w:rsidRPr="00F7490D" w:rsidRDefault="005F7C9B" w:rsidP="001E3615">
      <w:pPr>
        <w:ind w:left="5664"/>
        <w:jc w:val="both"/>
        <w:rPr>
          <w:rFonts w:ascii="Arial" w:hAnsi="Arial" w:cs="Arial"/>
        </w:rPr>
      </w:pPr>
      <w:r>
        <w:rPr>
          <w:rFonts w:ascii="Arial" w:hAnsi="Arial" w:cs="Arial"/>
        </w:rPr>
        <w:t xml:space="preserve">                   </w:t>
      </w:r>
      <w:r w:rsidR="00D1230C">
        <w:rPr>
          <w:rFonts w:ascii="Arial" w:hAnsi="Arial" w:cs="Arial"/>
        </w:rPr>
        <w:t xml:space="preserve">Dyrektor </w:t>
      </w:r>
      <w:r w:rsidR="00F7490D">
        <w:rPr>
          <w:rFonts w:ascii="Arial" w:hAnsi="Arial" w:cs="Arial"/>
        </w:rPr>
        <w:tab/>
      </w:r>
    </w:p>
    <w:sectPr w:rsidR="00D1230C" w:rsidRPr="00F7490D" w:rsidSect="00441C4E">
      <w:headerReference w:type="default" r:id="rId9"/>
      <w:footerReference w:type="default" r:id="rId10"/>
      <w:pgSz w:w="11906" w:h="16838"/>
      <w:pgMar w:top="426" w:right="1700"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5F3" w:rsidRDefault="00E905F3" w:rsidP="00695830">
      <w:pPr>
        <w:spacing w:after="0" w:line="240" w:lineRule="auto"/>
      </w:pPr>
      <w:r>
        <w:separator/>
      </w:r>
    </w:p>
  </w:endnote>
  <w:endnote w:type="continuationSeparator" w:id="0">
    <w:p w:rsidR="00E905F3" w:rsidRDefault="00E905F3" w:rsidP="006958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jaVuSansCondense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90D" w:rsidRPr="006B2978" w:rsidRDefault="00F7490D" w:rsidP="00F7490D">
    <w:pPr>
      <w:pStyle w:val="Stopka"/>
      <w:rPr>
        <w:rFonts w:ascii="Arial" w:hAnsi="Arial"/>
        <w:bCs/>
        <w:iCs/>
        <w:sz w:val="20"/>
        <w:szCs w:val="20"/>
      </w:rPr>
    </w:pPr>
    <w:r w:rsidRPr="006B2978">
      <w:rPr>
        <w:rFonts w:ascii="Arial" w:hAnsi="Arial"/>
        <w:bCs/>
        <w:iCs/>
        <w:sz w:val="20"/>
        <w:szCs w:val="20"/>
      </w:rPr>
      <w:t>----------------------------------------------------------------------------------------------------</w:t>
    </w:r>
    <w:r>
      <w:rPr>
        <w:rFonts w:ascii="Arial" w:hAnsi="Arial"/>
        <w:bCs/>
        <w:iCs/>
        <w:sz w:val="20"/>
        <w:szCs w:val="20"/>
      </w:rPr>
      <w:t>-------------------------------</w:t>
    </w:r>
  </w:p>
  <w:p w:rsidR="00F7490D" w:rsidRDefault="00F7490D" w:rsidP="00F7490D">
    <w:pPr>
      <w:pStyle w:val="Stopka"/>
      <w:rPr>
        <w:rFonts w:ascii="Arial" w:hAnsi="Arial"/>
        <w:b/>
        <w:bCs/>
        <w:i/>
        <w:iCs/>
        <w:sz w:val="20"/>
        <w:szCs w:val="20"/>
      </w:rPr>
    </w:pPr>
    <w:r>
      <w:rPr>
        <w:noProof/>
        <w:lang w:eastAsia="pl-PL"/>
      </w:rPr>
      <w:drawing>
        <wp:anchor distT="0" distB="0" distL="0" distR="0" simplePos="0" relativeHeight="251660288" behindDoc="1" locked="0" layoutInCell="1" allowOverlap="1">
          <wp:simplePos x="0" y="0"/>
          <wp:positionH relativeFrom="margin">
            <wp:align>right</wp:align>
          </wp:positionH>
          <wp:positionV relativeFrom="paragraph">
            <wp:posOffset>12700</wp:posOffset>
          </wp:positionV>
          <wp:extent cx="1323975" cy="492760"/>
          <wp:effectExtent l="19050" t="0" r="9525" b="0"/>
          <wp:wrapNone/>
          <wp:docPr id="1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1323975" cy="492760"/>
                  </a:xfrm>
                  <a:prstGeom prst="rect">
                    <a:avLst/>
                  </a:prstGeom>
                  <a:solidFill>
                    <a:srgbClr val="FFFFFF"/>
                  </a:solidFill>
                  <a:ln w="9525">
                    <a:noFill/>
                    <a:miter lim="800000"/>
                    <a:headEnd/>
                    <a:tailEnd/>
                  </a:ln>
                </pic:spPr>
              </pic:pic>
            </a:graphicData>
          </a:graphic>
        </wp:anchor>
      </w:drawing>
    </w:r>
    <w:r>
      <w:rPr>
        <w:rFonts w:ascii="Arial" w:hAnsi="Arial"/>
        <w:b/>
        <w:bCs/>
        <w:i/>
        <w:iCs/>
        <w:sz w:val="20"/>
        <w:szCs w:val="20"/>
      </w:rPr>
      <w:t xml:space="preserve">Szpital Specjalistyczny w Chorzowie jest jednostką ochrony zdrowia   </w:t>
    </w:r>
  </w:p>
  <w:p w:rsidR="00F7490D" w:rsidRPr="000C5849" w:rsidRDefault="00F7490D" w:rsidP="00F7490D">
    <w:pPr>
      <w:pStyle w:val="Stopka"/>
      <w:rPr>
        <w:rFonts w:ascii="Arial" w:hAnsi="Arial"/>
        <w:b/>
        <w:bCs/>
        <w:i/>
        <w:iCs/>
        <w:sz w:val="20"/>
        <w:szCs w:val="20"/>
      </w:rPr>
    </w:pPr>
    <w:r>
      <w:rPr>
        <w:rFonts w:ascii="Arial" w:hAnsi="Arial"/>
        <w:b/>
        <w:bCs/>
        <w:i/>
        <w:iCs/>
        <w:sz w:val="20"/>
        <w:szCs w:val="20"/>
      </w:rPr>
      <w:t>Samorządu Województwa Śląskiego</w:t>
    </w:r>
  </w:p>
  <w:p w:rsidR="00F7490D" w:rsidRDefault="00F7490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5F3" w:rsidRDefault="00E905F3" w:rsidP="00695830">
      <w:pPr>
        <w:spacing w:after="0" w:line="240" w:lineRule="auto"/>
      </w:pPr>
      <w:r>
        <w:separator/>
      </w:r>
    </w:p>
  </w:footnote>
  <w:footnote w:type="continuationSeparator" w:id="0">
    <w:p w:rsidR="00E905F3" w:rsidRDefault="00E905F3" w:rsidP="006958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D9A" w:rsidRPr="007606A7" w:rsidRDefault="00A57D9A" w:rsidP="00A57D9A">
    <w:pPr>
      <w:spacing w:after="0" w:line="240" w:lineRule="auto"/>
      <w:ind w:left="709" w:firstLine="709"/>
      <w:jc w:val="both"/>
      <w:rPr>
        <w:b/>
        <w:sz w:val="23"/>
        <w:szCs w:val="23"/>
      </w:rPr>
    </w:pPr>
    <w:r>
      <w:rPr>
        <w:noProof/>
        <w:lang w:eastAsia="pl-PL"/>
      </w:rPr>
      <w:drawing>
        <wp:anchor distT="0" distB="0" distL="0" distR="0" simplePos="0" relativeHeight="251664384" behindDoc="0" locked="0" layoutInCell="1" allowOverlap="1">
          <wp:simplePos x="0" y="0"/>
          <wp:positionH relativeFrom="column">
            <wp:posOffset>4385310</wp:posOffset>
          </wp:positionH>
          <wp:positionV relativeFrom="paragraph">
            <wp:posOffset>-62865</wp:posOffset>
          </wp:positionV>
          <wp:extent cx="1487805" cy="680085"/>
          <wp:effectExtent l="19050" t="0" r="0" b="0"/>
          <wp:wrapNone/>
          <wp:docPr id="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487805" cy="680085"/>
                  </a:xfrm>
                  <a:prstGeom prst="rect">
                    <a:avLst/>
                  </a:prstGeom>
                  <a:solidFill>
                    <a:srgbClr val="FFFFFF"/>
                  </a:solidFill>
                  <a:ln w="9525">
                    <a:noFill/>
                    <a:miter lim="800000"/>
                    <a:headEnd/>
                    <a:tailEnd/>
                  </a:ln>
                </pic:spPr>
              </pic:pic>
            </a:graphicData>
          </a:graphic>
        </wp:anchor>
      </w:drawing>
    </w:r>
    <w:r>
      <w:rPr>
        <w:noProof/>
        <w:lang w:eastAsia="pl-PL"/>
      </w:rPr>
      <w:drawing>
        <wp:anchor distT="0" distB="0" distL="0" distR="0" simplePos="0" relativeHeight="251663360" behindDoc="1" locked="0" layoutInCell="1" allowOverlap="1">
          <wp:simplePos x="0" y="0"/>
          <wp:positionH relativeFrom="column">
            <wp:posOffset>3900805</wp:posOffset>
          </wp:positionH>
          <wp:positionV relativeFrom="paragraph">
            <wp:posOffset>-20955</wp:posOffset>
          </wp:positionV>
          <wp:extent cx="431165" cy="677545"/>
          <wp:effectExtent l="19050" t="0" r="6985" b="0"/>
          <wp:wrapNone/>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srcRect/>
                  <a:stretch>
                    <a:fillRect/>
                  </a:stretch>
                </pic:blipFill>
                <pic:spPr bwMode="auto">
                  <a:xfrm>
                    <a:off x="0" y="0"/>
                    <a:ext cx="431165" cy="677545"/>
                  </a:xfrm>
                  <a:prstGeom prst="rect">
                    <a:avLst/>
                  </a:prstGeom>
                  <a:solidFill>
                    <a:srgbClr val="FFFFFF"/>
                  </a:solidFill>
                  <a:ln w="9525">
                    <a:noFill/>
                    <a:miter lim="800000"/>
                    <a:headEnd/>
                    <a:tailEnd/>
                  </a:ln>
                </pic:spPr>
              </pic:pic>
            </a:graphicData>
          </a:graphic>
        </wp:anchor>
      </w:drawing>
    </w:r>
    <w:r>
      <w:rPr>
        <w:noProof/>
        <w:lang w:eastAsia="pl-PL"/>
      </w:rPr>
      <w:drawing>
        <wp:anchor distT="0" distB="0" distL="0" distR="0" simplePos="0" relativeHeight="251662336" behindDoc="0" locked="0" layoutInCell="1" allowOverlap="1">
          <wp:simplePos x="0" y="0"/>
          <wp:positionH relativeFrom="margin">
            <wp:posOffset>57150</wp:posOffset>
          </wp:positionH>
          <wp:positionV relativeFrom="paragraph">
            <wp:posOffset>85725</wp:posOffset>
          </wp:positionV>
          <wp:extent cx="661670" cy="661670"/>
          <wp:effectExtent l="19050" t="0" r="5080" b="0"/>
          <wp:wrapNone/>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srcRect/>
                  <a:stretch>
                    <a:fillRect/>
                  </a:stretch>
                </pic:blipFill>
                <pic:spPr bwMode="auto">
                  <a:xfrm>
                    <a:off x="0" y="0"/>
                    <a:ext cx="661670" cy="661670"/>
                  </a:xfrm>
                  <a:prstGeom prst="rect">
                    <a:avLst/>
                  </a:prstGeom>
                  <a:solidFill>
                    <a:srgbClr val="FFFFFF"/>
                  </a:solidFill>
                  <a:ln w="9525">
                    <a:noFill/>
                    <a:miter lim="800000"/>
                    <a:headEnd/>
                    <a:tailEnd/>
                  </a:ln>
                </pic:spPr>
              </pic:pic>
            </a:graphicData>
          </a:graphic>
        </wp:anchor>
      </w:drawing>
    </w:r>
    <w:r>
      <w:rPr>
        <w:b/>
        <w:sz w:val="23"/>
        <w:szCs w:val="23"/>
      </w:rPr>
      <w:t>SZPITAL SPECJALISTYCZNY W CHORZOWIE</w:t>
    </w:r>
    <w:r>
      <w:rPr>
        <w:b/>
        <w:sz w:val="23"/>
        <w:szCs w:val="23"/>
      </w:rPr>
      <w:tab/>
    </w:r>
  </w:p>
  <w:p w:rsidR="00A57D9A" w:rsidRPr="00BE56FD" w:rsidRDefault="00A57D9A" w:rsidP="00A57D9A">
    <w:pPr>
      <w:spacing w:after="0" w:line="240" w:lineRule="auto"/>
    </w:pPr>
    <w:r>
      <w:t xml:space="preserve">      </w:t>
    </w:r>
    <w:r>
      <w:tab/>
    </w:r>
    <w:r>
      <w:tab/>
      <w:t>41-500 Chorzów ul. Zjednoczenia 10</w:t>
    </w:r>
  </w:p>
  <w:p w:rsidR="00A57D9A" w:rsidRPr="00BE56FD" w:rsidRDefault="00A57D9A" w:rsidP="00A57D9A">
    <w:pPr>
      <w:spacing w:after="0" w:line="240" w:lineRule="auto"/>
      <w:jc w:val="both"/>
    </w:pPr>
    <w:r>
      <w:tab/>
    </w:r>
    <w:r>
      <w:tab/>
      <w:t>tel. /0-32/ 34-63-650</w:t>
    </w:r>
    <w:r w:rsidRPr="00BE56FD">
      <w:t xml:space="preserve">   fax. /0-32/ 241-47-33</w:t>
    </w:r>
  </w:p>
  <w:p w:rsidR="00A57D9A" w:rsidRDefault="00A57D9A" w:rsidP="00A57D9A">
    <w:pPr>
      <w:spacing w:after="120" w:line="240" w:lineRule="auto"/>
    </w:pPr>
    <w:r w:rsidRPr="00BE56FD">
      <w:tab/>
    </w:r>
    <w:r w:rsidRPr="00BE56FD">
      <w:tab/>
      <w:t>www.szpitalspecjalistycznywchorzowie.pl</w:t>
    </w:r>
    <w:r w:rsidRPr="00BE56FD">
      <w:br/>
    </w:r>
    <w:r w:rsidRPr="00BE56FD">
      <w:tab/>
    </w:r>
    <w:r w:rsidRPr="00BE56FD">
      <w:tab/>
      <w:t xml:space="preserve">email: </w:t>
    </w:r>
    <w:hyperlink r:id="rId4" w:history="1">
      <w:r w:rsidRPr="00BE56FD">
        <w:rPr>
          <w:rStyle w:val="Hipercze"/>
          <w:rFonts w:cs="Arial"/>
          <w:color w:val="000000"/>
        </w:rPr>
        <w:t>sekretariat@sswch.pl</w:t>
      </w:r>
    </w:hyperlink>
  </w:p>
  <w:p w:rsidR="00A57D9A" w:rsidRDefault="00A57D9A" w:rsidP="00A57D9A">
    <w:pPr>
      <w:spacing w:after="120" w:line="240" w:lineRule="aut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B566D"/>
    <w:multiLevelType w:val="hybridMultilevel"/>
    <w:tmpl w:val="E1A28F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C1F1422"/>
    <w:multiLevelType w:val="hybridMultilevel"/>
    <w:tmpl w:val="8B0822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1614C6D"/>
    <w:multiLevelType w:val="hybridMultilevel"/>
    <w:tmpl w:val="843EB3FA"/>
    <w:lvl w:ilvl="0" w:tplc="96723258">
      <w:start w:val="1"/>
      <w:numFmt w:val="decimal"/>
      <w:lvlText w:val="%1."/>
      <w:lvlJc w:val="left"/>
      <w:pPr>
        <w:ind w:left="720" w:hanging="360"/>
      </w:pPr>
      <w:rPr>
        <w:rFonts w:hint="default"/>
      </w:rPr>
    </w:lvl>
    <w:lvl w:ilvl="1" w:tplc="D126178C" w:tentative="1">
      <w:start w:val="1"/>
      <w:numFmt w:val="lowerLetter"/>
      <w:lvlText w:val="%2."/>
      <w:lvlJc w:val="left"/>
      <w:pPr>
        <w:ind w:left="1440" w:hanging="360"/>
      </w:pPr>
    </w:lvl>
    <w:lvl w:ilvl="2" w:tplc="CB120D86" w:tentative="1">
      <w:start w:val="1"/>
      <w:numFmt w:val="lowerRoman"/>
      <w:lvlText w:val="%3."/>
      <w:lvlJc w:val="right"/>
      <w:pPr>
        <w:ind w:left="2160" w:hanging="180"/>
      </w:pPr>
    </w:lvl>
    <w:lvl w:ilvl="3" w:tplc="3BD8186C" w:tentative="1">
      <w:start w:val="1"/>
      <w:numFmt w:val="decimal"/>
      <w:lvlText w:val="%4."/>
      <w:lvlJc w:val="left"/>
      <w:pPr>
        <w:ind w:left="2880" w:hanging="360"/>
      </w:pPr>
    </w:lvl>
    <w:lvl w:ilvl="4" w:tplc="28F25232" w:tentative="1">
      <w:start w:val="1"/>
      <w:numFmt w:val="lowerLetter"/>
      <w:lvlText w:val="%5."/>
      <w:lvlJc w:val="left"/>
      <w:pPr>
        <w:ind w:left="3600" w:hanging="360"/>
      </w:pPr>
    </w:lvl>
    <w:lvl w:ilvl="5" w:tplc="A3185406" w:tentative="1">
      <w:start w:val="1"/>
      <w:numFmt w:val="lowerRoman"/>
      <w:lvlText w:val="%6."/>
      <w:lvlJc w:val="right"/>
      <w:pPr>
        <w:ind w:left="4320" w:hanging="180"/>
      </w:pPr>
    </w:lvl>
    <w:lvl w:ilvl="6" w:tplc="DAB6F7E2" w:tentative="1">
      <w:start w:val="1"/>
      <w:numFmt w:val="decimal"/>
      <w:lvlText w:val="%7."/>
      <w:lvlJc w:val="left"/>
      <w:pPr>
        <w:ind w:left="5040" w:hanging="360"/>
      </w:pPr>
    </w:lvl>
    <w:lvl w:ilvl="7" w:tplc="2E1420A2" w:tentative="1">
      <w:start w:val="1"/>
      <w:numFmt w:val="lowerLetter"/>
      <w:lvlText w:val="%8."/>
      <w:lvlJc w:val="left"/>
      <w:pPr>
        <w:ind w:left="5760" w:hanging="360"/>
      </w:pPr>
    </w:lvl>
    <w:lvl w:ilvl="8" w:tplc="3DC40DFC" w:tentative="1">
      <w:start w:val="1"/>
      <w:numFmt w:val="lowerRoman"/>
      <w:lvlText w:val="%9."/>
      <w:lvlJc w:val="right"/>
      <w:pPr>
        <w:ind w:left="6480" w:hanging="180"/>
      </w:pPr>
    </w:lvl>
  </w:abstractNum>
  <w:abstractNum w:abstractNumId="3">
    <w:nsid w:val="2FEA5352"/>
    <w:multiLevelType w:val="hybridMultilevel"/>
    <w:tmpl w:val="85442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7253A89"/>
    <w:multiLevelType w:val="hybridMultilevel"/>
    <w:tmpl w:val="A9EC389A"/>
    <w:lvl w:ilvl="0" w:tplc="0415000F">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B417F39"/>
    <w:multiLevelType w:val="multilevel"/>
    <w:tmpl w:val="0844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CC0C2C"/>
    <w:multiLevelType w:val="hybridMultilevel"/>
    <w:tmpl w:val="393048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60A265F"/>
    <w:multiLevelType w:val="hybridMultilevel"/>
    <w:tmpl w:val="56625C24"/>
    <w:lvl w:ilvl="0" w:tplc="574C7E74">
      <w:start w:val="1"/>
      <w:numFmt w:val="decimal"/>
      <w:lvlText w:val="%1."/>
      <w:lvlJc w:val="left"/>
      <w:pPr>
        <w:ind w:left="720" w:hanging="360"/>
      </w:pPr>
      <w:rPr>
        <w:rFonts w:hint="default"/>
      </w:rPr>
    </w:lvl>
    <w:lvl w:ilvl="1" w:tplc="B546E676" w:tentative="1">
      <w:start w:val="1"/>
      <w:numFmt w:val="lowerLetter"/>
      <w:lvlText w:val="%2."/>
      <w:lvlJc w:val="left"/>
      <w:pPr>
        <w:ind w:left="1440" w:hanging="360"/>
      </w:pPr>
    </w:lvl>
    <w:lvl w:ilvl="2" w:tplc="ECB8CC9E" w:tentative="1">
      <w:start w:val="1"/>
      <w:numFmt w:val="lowerRoman"/>
      <w:lvlText w:val="%3."/>
      <w:lvlJc w:val="right"/>
      <w:pPr>
        <w:ind w:left="2160" w:hanging="180"/>
      </w:pPr>
    </w:lvl>
    <w:lvl w:ilvl="3" w:tplc="497ED016" w:tentative="1">
      <w:start w:val="1"/>
      <w:numFmt w:val="decimal"/>
      <w:lvlText w:val="%4."/>
      <w:lvlJc w:val="left"/>
      <w:pPr>
        <w:ind w:left="2880" w:hanging="360"/>
      </w:pPr>
    </w:lvl>
    <w:lvl w:ilvl="4" w:tplc="6358AA9C" w:tentative="1">
      <w:start w:val="1"/>
      <w:numFmt w:val="lowerLetter"/>
      <w:lvlText w:val="%5."/>
      <w:lvlJc w:val="left"/>
      <w:pPr>
        <w:ind w:left="3600" w:hanging="360"/>
      </w:pPr>
    </w:lvl>
    <w:lvl w:ilvl="5" w:tplc="93A2169A" w:tentative="1">
      <w:start w:val="1"/>
      <w:numFmt w:val="lowerRoman"/>
      <w:lvlText w:val="%6."/>
      <w:lvlJc w:val="right"/>
      <w:pPr>
        <w:ind w:left="4320" w:hanging="180"/>
      </w:pPr>
    </w:lvl>
    <w:lvl w:ilvl="6" w:tplc="87509938" w:tentative="1">
      <w:start w:val="1"/>
      <w:numFmt w:val="decimal"/>
      <w:lvlText w:val="%7."/>
      <w:lvlJc w:val="left"/>
      <w:pPr>
        <w:ind w:left="5040" w:hanging="360"/>
      </w:pPr>
    </w:lvl>
    <w:lvl w:ilvl="7" w:tplc="8BD634DA" w:tentative="1">
      <w:start w:val="1"/>
      <w:numFmt w:val="lowerLetter"/>
      <w:lvlText w:val="%8."/>
      <w:lvlJc w:val="left"/>
      <w:pPr>
        <w:ind w:left="5760" w:hanging="360"/>
      </w:pPr>
    </w:lvl>
    <w:lvl w:ilvl="8" w:tplc="135CF910" w:tentative="1">
      <w:start w:val="1"/>
      <w:numFmt w:val="lowerRoman"/>
      <w:lvlText w:val="%9."/>
      <w:lvlJc w:val="right"/>
      <w:pPr>
        <w:ind w:left="6480" w:hanging="180"/>
      </w:pPr>
    </w:lvl>
  </w:abstractNum>
  <w:abstractNum w:abstractNumId="8">
    <w:nsid w:val="47F1383E"/>
    <w:multiLevelType w:val="hybridMultilevel"/>
    <w:tmpl w:val="C33C4D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FA24DC0"/>
    <w:multiLevelType w:val="hybridMultilevel"/>
    <w:tmpl w:val="AFAC0B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1A60518"/>
    <w:multiLevelType w:val="hybridMultilevel"/>
    <w:tmpl w:val="454244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79D6B63"/>
    <w:multiLevelType w:val="hybridMultilevel"/>
    <w:tmpl w:val="AAC8547E"/>
    <w:lvl w:ilvl="0" w:tplc="9D381ACE">
      <w:start w:val="1"/>
      <w:numFmt w:val="decimal"/>
      <w:lvlText w:val="%1."/>
      <w:lvlJc w:val="left"/>
      <w:pPr>
        <w:ind w:left="720" w:hanging="360"/>
      </w:pPr>
      <w:rPr>
        <w:rFonts w:eastAsia="Calibri"/>
        <w:color w:val="0070C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5A86069E"/>
    <w:multiLevelType w:val="hybridMultilevel"/>
    <w:tmpl w:val="D692482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31308B1"/>
    <w:multiLevelType w:val="hybridMultilevel"/>
    <w:tmpl w:val="73CE34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5540DCB"/>
    <w:multiLevelType w:val="multilevel"/>
    <w:tmpl w:val="C0EA7C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64D7127"/>
    <w:multiLevelType w:val="hybridMultilevel"/>
    <w:tmpl w:val="BD54D818"/>
    <w:lvl w:ilvl="0" w:tplc="D28CFD5A">
      <w:start w:val="1"/>
      <w:numFmt w:val="decimal"/>
      <w:lvlText w:val="%1."/>
      <w:lvlJc w:val="left"/>
      <w:pPr>
        <w:ind w:left="720" w:hanging="360"/>
      </w:pPr>
      <w:rPr>
        <w:b w:val="0"/>
      </w:rPr>
    </w:lvl>
    <w:lvl w:ilvl="1" w:tplc="02105BB4" w:tentative="1">
      <w:start w:val="1"/>
      <w:numFmt w:val="lowerLetter"/>
      <w:lvlText w:val="%2."/>
      <w:lvlJc w:val="left"/>
      <w:pPr>
        <w:ind w:left="1440" w:hanging="360"/>
      </w:pPr>
    </w:lvl>
    <w:lvl w:ilvl="2" w:tplc="87B00138" w:tentative="1">
      <w:start w:val="1"/>
      <w:numFmt w:val="lowerRoman"/>
      <w:lvlText w:val="%3."/>
      <w:lvlJc w:val="right"/>
      <w:pPr>
        <w:ind w:left="2160" w:hanging="180"/>
      </w:pPr>
    </w:lvl>
    <w:lvl w:ilvl="3" w:tplc="1F44C0EC" w:tentative="1">
      <w:start w:val="1"/>
      <w:numFmt w:val="decimal"/>
      <w:lvlText w:val="%4."/>
      <w:lvlJc w:val="left"/>
      <w:pPr>
        <w:ind w:left="2880" w:hanging="360"/>
      </w:pPr>
    </w:lvl>
    <w:lvl w:ilvl="4" w:tplc="92B6E7E2" w:tentative="1">
      <w:start w:val="1"/>
      <w:numFmt w:val="lowerLetter"/>
      <w:lvlText w:val="%5."/>
      <w:lvlJc w:val="left"/>
      <w:pPr>
        <w:ind w:left="3600" w:hanging="360"/>
      </w:pPr>
    </w:lvl>
    <w:lvl w:ilvl="5" w:tplc="88BC3BAC" w:tentative="1">
      <w:start w:val="1"/>
      <w:numFmt w:val="lowerRoman"/>
      <w:lvlText w:val="%6."/>
      <w:lvlJc w:val="right"/>
      <w:pPr>
        <w:ind w:left="4320" w:hanging="180"/>
      </w:pPr>
    </w:lvl>
    <w:lvl w:ilvl="6" w:tplc="89C4A550" w:tentative="1">
      <w:start w:val="1"/>
      <w:numFmt w:val="decimal"/>
      <w:lvlText w:val="%7."/>
      <w:lvlJc w:val="left"/>
      <w:pPr>
        <w:ind w:left="5040" w:hanging="360"/>
      </w:pPr>
    </w:lvl>
    <w:lvl w:ilvl="7" w:tplc="8666833A" w:tentative="1">
      <w:start w:val="1"/>
      <w:numFmt w:val="lowerLetter"/>
      <w:lvlText w:val="%8."/>
      <w:lvlJc w:val="left"/>
      <w:pPr>
        <w:ind w:left="5760" w:hanging="360"/>
      </w:pPr>
    </w:lvl>
    <w:lvl w:ilvl="8" w:tplc="AF0013D2" w:tentative="1">
      <w:start w:val="1"/>
      <w:numFmt w:val="lowerRoman"/>
      <w:lvlText w:val="%9."/>
      <w:lvlJc w:val="right"/>
      <w:pPr>
        <w:ind w:left="6480" w:hanging="180"/>
      </w:pPr>
    </w:lvl>
  </w:abstractNum>
  <w:abstractNum w:abstractNumId="16">
    <w:nsid w:val="6AD071B5"/>
    <w:multiLevelType w:val="hybridMultilevel"/>
    <w:tmpl w:val="14B6CB96"/>
    <w:lvl w:ilvl="0" w:tplc="DD5CCC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CF00B50"/>
    <w:multiLevelType w:val="hybridMultilevel"/>
    <w:tmpl w:val="955A048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758719D4"/>
    <w:multiLevelType w:val="hybridMultilevel"/>
    <w:tmpl w:val="C33C4D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77DA35CC"/>
    <w:multiLevelType w:val="multilevel"/>
    <w:tmpl w:val="0E10D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19"/>
  </w:num>
  <w:num w:numId="4">
    <w:abstractNumId w:val="14"/>
  </w:num>
  <w:num w:numId="5">
    <w:abstractNumId w:val="15"/>
  </w:num>
  <w:num w:numId="6">
    <w:abstractNumId w:val="1"/>
  </w:num>
  <w:num w:numId="7">
    <w:abstractNumId w:val="2"/>
  </w:num>
  <w:num w:numId="8">
    <w:abstractNumId w:val="10"/>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3"/>
  </w:num>
  <w:num w:numId="15">
    <w:abstractNumId w:val="9"/>
  </w:num>
  <w:num w:numId="16">
    <w:abstractNumId w:val="6"/>
  </w:num>
  <w:num w:numId="17">
    <w:abstractNumId w:val="0"/>
  </w:num>
  <w:num w:numId="18">
    <w:abstractNumId w:val="8"/>
  </w:num>
  <w:num w:numId="19">
    <w:abstractNumId w:val="18"/>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695830"/>
    <w:rsid w:val="0000635E"/>
    <w:rsid w:val="00015D86"/>
    <w:rsid w:val="000408F5"/>
    <w:rsid w:val="00053696"/>
    <w:rsid w:val="00077D13"/>
    <w:rsid w:val="00083CF3"/>
    <w:rsid w:val="000A52BA"/>
    <w:rsid w:val="000B035F"/>
    <w:rsid w:val="00104B0F"/>
    <w:rsid w:val="00107E43"/>
    <w:rsid w:val="00131897"/>
    <w:rsid w:val="0013388A"/>
    <w:rsid w:val="00144475"/>
    <w:rsid w:val="00147F84"/>
    <w:rsid w:val="0015180B"/>
    <w:rsid w:val="0015339E"/>
    <w:rsid w:val="00196C65"/>
    <w:rsid w:val="001A77A6"/>
    <w:rsid w:val="001C7073"/>
    <w:rsid w:val="001E258D"/>
    <w:rsid w:val="001E34F8"/>
    <w:rsid w:val="001E3615"/>
    <w:rsid w:val="001E6C46"/>
    <w:rsid w:val="002120C0"/>
    <w:rsid w:val="002148BB"/>
    <w:rsid w:val="00260EB8"/>
    <w:rsid w:val="00285321"/>
    <w:rsid w:val="002A08E5"/>
    <w:rsid w:val="002B3025"/>
    <w:rsid w:val="003011AC"/>
    <w:rsid w:val="00312D0A"/>
    <w:rsid w:val="00374436"/>
    <w:rsid w:val="00377F57"/>
    <w:rsid w:val="00385B4A"/>
    <w:rsid w:val="003C2F10"/>
    <w:rsid w:val="003D01FF"/>
    <w:rsid w:val="003E1F87"/>
    <w:rsid w:val="003E24DD"/>
    <w:rsid w:val="00435677"/>
    <w:rsid w:val="00441C4E"/>
    <w:rsid w:val="00445AB1"/>
    <w:rsid w:val="00454D0B"/>
    <w:rsid w:val="00472077"/>
    <w:rsid w:val="004926F5"/>
    <w:rsid w:val="004957DF"/>
    <w:rsid w:val="004A0DA0"/>
    <w:rsid w:val="004A1EE7"/>
    <w:rsid w:val="004B738C"/>
    <w:rsid w:val="004C39C3"/>
    <w:rsid w:val="004D5699"/>
    <w:rsid w:val="005112D2"/>
    <w:rsid w:val="0051313A"/>
    <w:rsid w:val="00535E63"/>
    <w:rsid w:val="00566591"/>
    <w:rsid w:val="00575F6B"/>
    <w:rsid w:val="005833F6"/>
    <w:rsid w:val="005959DF"/>
    <w:rsid w:val="005C4096"/>
    <w:rsid w:val="005C6A84"/>
    <w:rsid w:val="005D0C71"/>
    <w:rsid w:val="005F7C0A"/>
    <w:rsid w:val="005F7C9B"/>
    <w:rsid w:val="00635332"/>
    <w:rsid w:val="00641C5B"/>
    <w:rsid w:val="006850FC"/>
    <w:rsid w:val="00695830"/>
    <w:rsid w:val="006A7888"/>
    <w:rsid w:val="006C3681"/>
    <w:rsid w:val="006D1933"/>
    <w:rsid w:val="006D6642"/>
    <w:rsid w:val="006E5C4A"/>
    <w:rsid w:val="0070774E"/>
    <w:rsid w:val="0072752D"/>
    <w:rsid w:val="007424D9"/>
    <w:rsid w:val="0074403A"/>
    <w:rsid w:val="00757D69"/>
    <w:rsid w:val="0076047D"/>
    <w:rsid w:val="00784DCA"/>
    <w:rsid w:val="007A64BA"/>
    <w:rsid w:val="007B2094"/>
    <w:rsid w:val="007C720F"/>
    <w:rsid w:val="007C7603"/>
    <w:rsid w:val="007D6A39"/>
    <w:rsid w:val="00804DEC"/>
    <w:rsid w:val="0086006C"/>
    <w:rsid w:val="00883432"/>
    <w:rsid w:val="00887880"/>
    <w:rsid w:val="008A135D"/>
    <w:rsid w:val="008A40D5"/>
    <w:rsid w:val="008A41A8"/>
    <w:rsid w:val="008F457A"/>
    <w:rsid w:val="0090153D"/>
    <w:rsid w:val="009111EB"/>
    <w:rsid w:val="00914F83"/>
    <w:rsid w:val="009268F6"/>
    <w:rsid w:val="00931412"/>
    <w:rsid w:val="0093778B"/>
    <w:rsid w:val="00956290"/>
    <w:rsid w:val="009700AC"/>
    <w:rsid w:val="00986BFF"/>
    <w:rsid w:val="009905F0"/>
    <w:rsid w:val="009E1D3D"/>
    <w:rsid w:val="009F13C1"/>
    <w:rsid w:val="009F5AA0"/>
    <w:rsid w:val="009F6198"/>
    <w:rsid w:val="00A46D66"/>
    <w:rsid w:val="00A5749A"/>
    <w:rsid w:val="00A57D9A"/>
    <w:rsid w:val="00A806C3"/>
    <w:rsid w:val="00AD032B"/>
    <w:rsid w:val="00AE5568"/>
    <w:rsid w:val="00AF3308"/>
    <w:rsid w:val="00B11547"/>
    <w:rsid w:val="00B11D28"/>
    <w:rsid w:val="00B35CCE"/>
    <w:rsid w:val="00B465A9"/>
    <w:rsid w:val="00B60F76"/>
    <w:rsid w:val="00B757B9"/>
    <w:rsid w:val="00BC30D0"/>
    <w:rsid w:val="00BD1806"/>
    <w:rsid w:val="00BD2A1A"/>
    <w:rsid w:val="00BF65DA"/>
    <w:rsid w:val="00C61226"/>
    <w:rsid w:val="00C751E2"/>
    <w:rsid w:val="00C801B4"/>
    <w:rsid w:val="00C819B0"/>
    <w:rsid w:val="00C866C1"/>
    <w:rsid w:val="00CA3DF7"/>
    <w:rsid w:val="00CB251B"/>
    <w:rsid w:val="00CD1C6D"/>
    <w:rsid w:val="00D1230C"/>
    <w:rsid w:val="00D436A2"/>
    <w:rsid w:val="00D7315B"/>
    <w:rsid w:val="00D741DB"/>
    <w:rsid w:val="00D84DDF"/>
    <w:rsid w:val="00DB7893"/>
    <w:rsid w:val="00DE2058"/>
    <w:rsid w:val="00E131BD"/>
    <w:rsid w:val="00E25B30"/>
    <w:rsid w:val="00E333FB"/>
    <w:rsid w:val="00E9007A"/>
    <w:rsid w:val="00E905F3"/>
    <w:rsid w:val="00EA275E"/>
    <w:rsid w:val="00EC3E93"/>
    <w:rsid w:val="00F01DB0"/>
    <w:rsid w:val="00F11F8E"/>
    <w:rsid w:val="00F7490D"/>
    <w:rsid w:val="00F82F00"/>
    <w:rsid w:val="00FA351A"/>
    <w:rsid w:val="00FA47D3"/>
    <w:rsid w:val="00FB7C23"/>
    <w:rsid w:val="00FF100E"/>
    <w:rsid w:val="00FF4A0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5830"/>
    <w:pPr>
      <w:spacing w:after="160" w:line="259" w:lineRule="auto"/>
    </w:pPr>
    <w:rPr>
      <w:rFonts w:ascii="Calibri" w:eastAsia="Calibri" w:hAnsi="Calibri" w:cs="Times New Roman"/>
    </w:rPr>
  </w:style>
  <w:style w:type="paragraph" w:styleId="Nagwek1">
    <w:name w:val="heading 1"/>
    <w:basedOn w:val="Normalny"/>
    <w:next w:val="Normalny"/>
    <w:link w:val="Nagwek1Znak"/>
    <w:qFormat/>
    <w:rsid w:val="001338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695830"/>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4">
    <w:name w:val="heading 4"/>
    <w:basedOn w:val="Normalny"/>
    <w:link w:val="Nagwek4Znak"/>
    <w:qFormat/>
    <w:rsid w:val="00695830"/>
    <w:pPr>
      <w:spacing w:before="100" w:beforeAutospacing="1" w:after="100" w:afterAutospacing="1" w:line="240" w:lineRule="auto"/>
      <w:outlineLvl w:val="3"/>
    </w:pPr>
    <w:rPr>
      <w:rFonts w:ascii="Times New Roman" w:eastAsia="Times New Roman" w:hAnsi="Times New Roman"/>
      <w:b/>
      <w:bCs/>
      <w:sz w:val="24"/>
      <w:szCs w:val="24"/>
      <w:lang w:eastAsia="pl-PL"/>
    </w:rPr>
  </w:style>
  <w:style w:type="paragraph" w:styleId="Nagwek5">
    <w:name w:val="heading 5"/>
    <w:basedOn w:val="Normalny"/>
    <w:next w:val="Normalny"/>
    <w:link w:val="Nagwek5Znak"/>
    <w:qFormat/>
    <w:rsid w:val="00445AB1"/>
    <w:pPr>
      <w:tabs>
        <w:tab w:val="num" w:pos="1008"/>
      </w:tabs>
      <w:spacing w:before="240" w:after="60" w:line="240" w:lineRule="auto"/>
      <w:ind w:left="1008" w:hanging="1008"/>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445AB1"/>
    <w:pPr>
      <w:tabs>
        <w:tab w:val="num" w:pos="1152"/>
      </w:tabs>
      <w:spacing w:before="240" w:after="60" w:line="240" w:lineRule="auto"/>
      <w:ind w:left="1152" w:hanging="1152"/>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445AB1"/>
    <w:pPr>
      <w:tabs>
        <w:tab w:val="num" w:pos="1296"/>
      </w:tabs>
      <w:spacing w:before="240" w:after="60" w:line="240" w:lineRule="auto"/>
      <w:ind w:left="1296" w:hanging="1296"/>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445AB1"/>
    <w:pPr>
      <w:tabs>
        <w:tab w:val="num" w:pos="1440"/>
      </w:tabs>
      <w:spacing w:before="240" w:after="60" w:line="240" w:lineRule="auto"/>
      <w:ind w:left="1440" w:hanging="1440"/>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445AB1"/>
    <w:pPr>
      <w:tabs>
        <w:tab w:val="num" w:pos="1584"/>
      </w:tabs>
      <w:spacing w:before="240" w:after="60" w:line="240" w:lineRule="auto"/>
      <w:ind w:left="1584" w:hanging="1584"/>
      <w:outlineLvl w:val="8"/>
    </w:pPr>
    <w:rPr>
      <w:rFonts w:ascii="Arial" w:eastAsia="Times New Roman" w:hAnsi="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695830"/>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uiPriority w:val="9"/>
    <w:rsid w:val="00695830"/>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95830"/>
    <w:rPr>
      <w:b/>
      <w:bCs/>
    </w:rPr>
  </w:style>
  <w:style w:type="paragraph" w:styleId="NormalnyWeb">
    <w:name w:val="Normal (Web)"/>
    <w:basedOn w:val="Normalny"/>
    <w:uiPriority w:val="99"/>
    <w:semiHidden/>
    <w:unhideWhenUsed/>
    <w:rsid w:val="00695830"/>
    <w:pPr>
      <w:spacing w:before="100" w:beforeAutospacing="1" w:after="100" w:afterAutospacing="1" w:line="240" w:lineRule="auto"/>
    </w:pPr>
    <w:rPr>
      <w:rFonts w:ascii="Times New Roman" w:eastAsia="Times New Roman" w:hAnsi="Times New Roman"/>
      <w:sz w:val="24"/>
      <w:szCs w:val="24"/>
      <w:lang w:eastAsia="pl-PL"/>
    </w:rPr>
  </w:style>
  <w:style w:type="paragraph" w:styleId="Tekstprzypisukocowego">
    <w:name w:val="endnote text"/>
    <w:basedOn w:val="Normalny"/>
    <w:link w:val="TekstprzypisukocowegoZnak"/>
    <w:uiPriority w:val="99"/>
    <w:semiHidden/>
    <w:unhideWhenUsed/>
    <w:rsid w:val="00695830"/>
    <w:pPr>
      <w:spacing w:after="0" w:line="240" w:lineRule="auto"/>
    </w:pPr>
    <w:rPr>
      <w:rFonts w:asciiTheme="minorHAnsi" w:eastAsiaTheme="minorHAnsi" w:hAnsiTheme="minorHAnsi" w:cstheme="minorBidi"/>
      <w:sz w:val="20"/>
      <w:szCs w:val="20"/>
    </w:rPr>
  </w:style>
  <w:style w:type="character" w:customStyle="1" w:styleId="TekstprzypisukocowegoZnak">
    <w:name w:val="Tekst przypisu końcowego Znak"/>
    <w:basedOn w:val="Domylnaczcionkaakapitu"/>
    <w:link w:val="Tekstprzypisukocowego"/>
    <w:uiPriority w:val="99"/>
    <w:semiHidden/>
    <w:rsid w:val="00695830"/>
    <w:rPr>
      <w:sz w:val="20"/>
      <w:szCs w:val="20"/>
    </w:rPr>
  </w:style>
  <w:style w:type="character" w:styleId="Odwoanieprzypisukocowego">
    <w:name w:val="endnote reference"/>
    <w:basedOn w:val="Domylnaczcionkaakapitu"/>
    <w:uiPriority w:val="99"/>
    <w:semiHidden/>
    <w:unhideWhenUsed/>
    <w:rsid w:val="00695830"/>
    <w:rPr>
      <w:vertAlign w:val="superscript"/>
    </w:rPr>
  </w:style>
  <w:style w:type="paragraph" w:styleId="Bezodstpw">
    <w:name w:val="No Spacing"/>
    <w:uiPriority w:val="1"/>
    <w:qFormat/>
    <w:rsid w:val="00695830"/>
    <w:pPr>
      <w:spacing w:after="0" w:line="240" w:lineRule="auto"/>
    </w:pPr>
  </w:style>
  <w:style w:type="paragraph" w:styleId="Lista2">
    <w:name w:val="List 2"/>
    <w:basedOn w:val="Normalny"/>
    <w:unhideWhenUsed/>
    <w:rsid w:val="00695830"/>
    <w:pPr>
      <w:spacing w:after="0" w:line="240" w:lineRule="auto"/>
      <w:ind w:left="566" w:hanging="283"/>
    </w:pPr>
    <w:rPr>
      <w:rFonts w:ascii="Times New Roman" w:eastAsia="Times New Roman" w:hAnsi="Times New Roman"/>
      <w:sz w:val="28"/>
      <w:szCs w:val="28"/>
    </w:rPr>
  </w:style>
  <w:style w:type="character" w:styleId="Hipercze">
    <w:name w:val="Hyperlink"/>
    <w:rsid w:val="00695830"/>
    <w:rPr>
      <w:color w:val="0000FF"/>
      <w:u w:val="single"/>
    </w:rPr>
  </w:style>
  <w:style w:type="paragraph" w:styleId="Nagwek">
    <w:name w:val="header"/>
    <w:basedOn w:val="Normalny"/>
    <w:link w:val="NagwekZnak"/>
    <w:rsid w:val="00695830"/>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NagwekZnak">
    <w:name w:val="Nagłówek Znak"/>
    <w:basedOn w:val="Domylnaczcionkaakapitu"/>
    <w:link w:val="Nagwek"/>
    <w:rsid w:val="00695830"/>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B11547"/>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1Znak">
    <w:name w:val="Nagłówek 1 Znak"/>
    <w:basedOn w:val="Domylnaczcionkaakapitu"/>
    <w:link w:val="Nagwek1"/>
    <w:uiPriority w:val="9"/>
    <w:rsid w:val="0013388A"/>
    <w:rPr>
      <w:rFonts w:asciiTheme="majorHAnsi" w:eastAsiaTheme="majorEastAsia" w:hAnsiTheme="majorHAnsi" w:cstheme="majorBidi"/>
      <w:b/>
      <w:bCs/>
      <w:color w:val="365F91" w:themeColor="accent1" w:themeShade="BF"/>
      <w:sz w:val="28"/>
      <w:szCs w:val="28"/>
    </w:rPr>
  </w:style>
  <w:style w:type="paragraph" w:styleId="Tekstdymka">
    <w:name w:val="Balloon Text"/>
    <w:basedOn w:val="Normalny"/>
    <w:link w:val="TekstdymkaZnak"/>
    <w:uiPriority w:val="99"/>
    <w:semiHidden/>
    <w:unhideWhenUsed/>
    <w:rsid w:val="006850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50FC"/>
    <w:rPr>
      <w:rFonts w:ascii="Tahoma" w:eastAsia="Calibri" w:hAnsi="Tahoma" w:cs="Tahoma"/>
      <w:sz w:val="16"/>
      <w:szCs w:val="16"/>
    </w:rPr>
  </w:style>
  <w:style w:type="character" w:customStyle="1" w:styleId="Nagwek5Znak">
    <w:name w:val="Nagłówek 5 Znak"/>
    <w:basedOn w:val="Domylnaczcionkaakapitu"/>
    <w:link w:val="Nagwek5"/>
    <w:rsid w:val="00445AB1"/>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445AB1"/>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445AB1"/>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445AB1"/>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445AB1"/>
    <w:rPr>
      <w:rFonts w:ascii="Arial" w:eastAsia="Times New Roman" w:hAnsi="Arial" w:cs="Times New Roman"/>
      <w:lang w:eastAsia="pl-PL"/>
    </w:rPr>
  </w:style>
  <w:style w:type="paragraph" w:customStyle="1" w:styleId="pkt">
    <w:name w:val="pkt"/>
    <w:basedOn w:val="Normalny"/>
    <w:link w:val="pktZnak"/>
    <w:rsid w:val="00445AB1"/>
    <w:pPr>
      <w:spacing w:before="60" w:after="60" w:line="240" w:lineRule="auto"/>
      <w:ind w:left="851" w:hanging="295"/>
      <w:jc w:val="both"/>
    </w:pPr>
    <w:rPr>
      <w:rFonts w:ascii="Times New Roman" w:eastAsia="Times New Roman" w:hAnsi="Times New Roman"/>
      <w:sz w:val="24"/>
      <w:szCs w:val="24"/>
    </w:rPr>
  </w:style>
  <w:style w:type="character" w:customStyle="1" w:styleId="pktZnak">
    <w:name w:val="pkt Znak"/>
    <w:link w:val="pkt"/>
    <w:locked/>
    <w:rsid w:val="00445AB1"/>
    <w:rPr>
      <w:rFonts w:ascii="Times New Roman" w:eastAsia="Times New Roman" w:hAnsi="Times New Roman" w:cs="Times New Roman"/>
      <w:sz w:val="24"/>
      <w:szCs w:val="24"/>
    </w:rPr>
  </w:style>
  <w:style w:type="paragraph" w:styleId="Stopka">
    <w:name w:val="footer"/>
    <w:basedOn w:val="Normalny"/>
    <w:link w:val="StopkaZnak"/>
    <w:unhideWhenUsed/>
    <w:rsid w:val="00F7490D"/>
    <w:pPr>
      <w:tabs>
        <w:tab w:val="center" w:pos="4536"/>
        <w:tab w:val="right" w:pos="9072"/>
      </w:tabs>
      <w:spacing w:after="0" w:line="240" w:lineRule="auto"/>
    </w:pPr>
  </w:style>
  <w:style w:type="character" w:customStyle="1" w:styleId="StopkaZnak">
    <w:name w:val="Stopka Znak"/>
    <w:basedOn w:val="Domylnaczcionkaakapitu"/>
    <w:link w:val="Stopka"/>
    <w:rsid w:val="00F7490D"/>
    <w:rPr>
      <w:rFonts w:ascii="Calibri" w:eastAsia="Calibri" w:hAnsi="Calibri" w:cs="Times New Roman"/>
    </w:rPr>
  </w:style>
  <w:style w:type="paragraph" w:customStyle="1" w:styleId="Default">
    <w:name w:val="Default"/>
    <w:rsid w:val="00A57D9A"/>
    <w:pPr>
      <w:autoSpaceDE w:val="0"/>
      <w:autoSpaceDN w:val="0"/>
      <w:adjustRightInd w:val="0"/>
      <w:spacing w:after="0" w:line="240" w:lineRule="auto"/>
    </w:pPr>
    <w:rPr>
      <w:rFonts w:ascii="Arial" w:hAnsi="Arial" w:cs="Arial"/>
      <w:color w:val="000000"/>
      <w:sz w:val="24"/>
      <w:szCs w:val="24"/>
    </w:rPr>
  </w:style>
  <w:style w:type="paragraph" w:customStyle="1" w:styleId="Akapitzlist1">
    <w:name w:val="Akapit z listą1"/>
    <w:basedOn w:val="Normalny"/>
    <w:rsid w:val="0076047D"/>
    <w:pPr>
      <w:suppressAutoHyphens/>
      <w:spacing w:after="200" w:line="276" w:lineRule="auto"/>
      <w:ind w:left="720"/>
    </w:pPr>
    <w:rPr>
      <w:rFonts w:eastAsia="Times New Roman" w:cs="Calibri"/>
      <w:lang w:eastAsia="ar-SA"/>
    </w:rPr>
  </w:style>
  <w:style w:type="character" w:customStyle="1" w:styleId="markedcontent">
    <w:name w:val="markedcontent"/>
    <w:basedOn w:val="Domylnaczcionkaakapitu"/>
    <w:rsid w:val="00956290"/>
  </w:style>
</w:styles>
</file>

<file path=word/webSettings.xml><?xml version="1.0" encoding="utf-8"?>
<w:webSettings xmlns:r="http://schemas.openxmlformats.org/officeDocument/2006/relationships" xmlns:w="http://schemas.openxmlformats.org/wordprocessingml/2006/main">
  <w:divs>
    <w:div w:id="1268851784">
      <w:bodyDiv w:val="1"/>
      <w:marLeft w:val="0"/>
      <w:marRight w:val="0"/>
      <w:marTop w:val="0"/>
      <w:marBottom w:val="0"/>
      <w:divBdr>
        <w:top w:val="none" w:sz="0" w:space="0" w:color="auto"/>
        <w:left w:val="none" w:sz="0" w:space="0" w:color="auto"/>
        <w:bottom w:val="none" w:sz="0" w:space="0" w:color="auto"/>
        <w:right w:val="none" w:sz="0" w:space="0" w:color="auto"/>
      </w:divBdr>
    </w:div>
    <w:div w:id="1466846264">
      <w:bodyDiv w:val="1"/>
      <w:marLeft w:val="0"/>
      <w:marRight w:val="0"/>
      <w:marTop w:val="0"/>
      <w:marBottom w:val="0"/>
      <w:divBdr>
        <w:top w:val="none" w:sz="0" w:space="0" w:color="auto"/>
        <w:left w:val="none" w:sz="0" w:space="0" w:color="auto"/>
        <w:bottom w:val="none" w:sz="0" w:space="0" w:color="auto"/>
        <w:right w:val="none" w:sz="0" w:space="0" w:color="auto"/>
      </w:divBdr>
    </w:div>
    <w:div w:id="1467157923">
      <w:bodyDiv w:val="1"/>
      <w:marLeft w:val="0"/>
      <w:marRight w:val="0"/>
      <w:marTop w:val="0"/>
      <w:marBottom w:val="0"/>
      <w:divBdr>
        <w:top w:val="none" w:sz="0" w:space="0" w:color="auto"/>
        <w:left w:val="none" w:sz="0" w:space="0" w:color="auto"/>
        <w:bottom w:val="none" w:sz="0" w:space="0" w:color="auto"/>
        <w:right w:val="none" w:sz="0" w:space="0" w:color="auto"/>
      </w:divBdr>
    </w:div>
    <w:div w:id="1658074658">
      <w:bodyDiv w:val="1"/>
      <w:marLeft w:val="0"/>
      <w:marRight w:val="0"/>
      <w:marTop w:val="0"/>
      <w:marBottom w:val="0"/>
      <w:divBdr>
        <w:top w:val="none" w:sz="0" w:space="0" w:color="auto"/>
        <w:left w:val="none" w:sz="0" w:space="0" w:color="auto"/>
        <w:bottom w:val="none" w:sz="0" w:space="0" w:color="auto"/>
        <w:right w:val="none" w:sz="0" w:space="0" w:color="auto"/>
      </w:divBdr>
    </w:div>
    <w:div w:id="213578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mailto:sekretariat@sswch.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9820A-33E0-47BB-8858-E8727FA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Pages>
  <Words>2114</Words>
  <Characters>12687</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10</cp:revision>
  <cp:lastPrinted>2022-02-02T08:40:00Z</cp:lastPrinted>
  <dcterms:created xsi:type="dcterms:W3CDTF">2022-01-31T09:17:00Z</dcterms:created>
  <dcterms:modified xsi:type="dcterms:W3CDTF">2022-02-02T11:13:00Z</dcterms:modified>
</cp:coreProperties>
</file>