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994EDB" w:rsidP="006A5DF1">
      <w:pPr>
        <w:spacing w:after="240"/>
        <w:jc w:val="right"/>
        <w:rPr>
          <w:sz w:val="22"/>
          <w:szCs w:val="22"/>
        </w:rPr>
      </w:pPr>
      <w:r w:rsidRPr="00994EDB">
        <w:rPr>
          <w:sz w:val="22"/>
          <w:szCs w:val="22"/>
        </w:rPr>
        <w:t>Częstochowa</w:t>
      </w:r>
      <w:r w:rsidR="006A5DF1" w:rsidRPr="00D91931">
        <w:rPr>
          <w:sz w:val="22"/>
          <w:szCs w:val="22"/>
        </w:rPr>
        <w:t xml:space="preserve"> dnia: </w:t>
      </w:r>
      <w:r w:rsidR="00126453">
        <w:rPr>
          <w:sz w:val="22"/>
          <w:szCs w:val="22"/>
        </w:rPr>
        <w:t>2021-09-20</w:t>
      </w:r>
    </w:p>
    <w:p w:rsidR="0029606A" w:rsidRPr="004F079B" w:rsidRDefault="0029606A" w:rsidP="006A5DF1">
      <w:pPr>
        <w:spacing w:after="240"/>
        <w:jc w:val="right"/>
        <w:rPr>
          <w:sz w:val="22"/>
          <w:szCs w:val="22"/>
        </w:rPr>
      </w:pPr>
    </w:p>
    <w:p w:rsidR="006A5DF1" w:rsidRPr="00D91931" w:rsidRDefault="00994EDB" w:rsidP="006A5DF1">
      <w:pPr>
        <w:rPr>
          <w:b/>
          <w:bCs/>
          <w:sz w:val="22"/>
          <w:szCs w:val="22"/>
        </w:rPr>
      </w:pPr>
      <w:r w:rsidRPr="00994EDB">
        <w:rPr>
          <w:b/>
          <w:bCs/>
          <w:sz w:val="22"/>
          <w:szCs w:val="22"/>
        </w:rPr>
        <w:t>Politechnika Częstochowska</w:t>
      </w:r>
    </w:p>
    <w:p w:rsidR="006A5DF1" w:rsidRPr="00BD5546" w:rsidRDefault="00994EDB" w:rsidP="006A5DF1">
      <w:pPr>
        <w:rPr>
          <w:sz w:val="22"/>
          <w:szCs w:val="22"/>
        </w:rPr>
      </w:pPr>
      <w:r w:rsidRPr="00994EDB">
        <w:rPr>
          <w:sz w:val="22"/>
          <w:szCs w:val="22"/>
        </w:rPr>
        <w:t>Dąbrowskiego</w:t>
      </w:r>
      <w:r w:rsidR="006A5DF1" w:rsidRPr="00BD5546">
        <w:rPr>
          <w:sz w:val="22"/>
          <w:szCs w:val="22"/>
        </w:rPr>
        <w:t xml:space="preserve"> </w:t>
      </w:r>
      <w:r w:rsidRPr="00994EDB">
        <w:rPr>
          <w:sz w:val="22"/>
          <w:szCs w:val="22"/>
        </w:rPr>
        <w:t>69</w:t>
      </w:r>
    </w:p>
    <w:p w:rsidR="006A5DF1" w:rsidRPr="00BD5546" w:rsidRDefault="00994EDB" w:rsidP="006A5DF1">
      <w:pPr>
        <w:rPr>
          <w:sz w:val="22"/>
          <w:szCs w:val="22"/>
        </w:rPr>
      </w:pPr>
      <w:r w:rsidRPr="00994EDB">
        <w:rPr>
          <w:sz w:val="22"/>
          <w:szCs w:val="22"/>
        </w:rPr>
        <w:t>42-201</w:t>
      </w:r>
      <w:r w:rsidR="006A5DF1" w:rsidRPr="00BD5546">
        <w:rPr>
          <w:sz w:val="22"/>
          <w:szCs w:val="22"/>
        </w:rPr>
        <w:t xml:space="preserve"> </w:t>
      </w:r>
      <w:r w:rsidRPr="00994EDB">
        <w:rPr>
          <w:sz w:val="22"/>
          <w:szCs w:val="22"/>
        </w:rPr>
        <w:t>Częstochowa</w:t>
      </w: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126453">
        <w:rPr>
          <w:b/>
          <w:bCs/>
          <w:sz w:val="22"/>
          <w:szCs w:val="22"/>
        </w:rPr>
        <w:t>653/21</w:t>
      </w:r>
      <w:bookmarkStart w:id="0" w:name="_GoBack"/>
      <w:bookmarkEnd w:id="0"/>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792235">
        <w:rPr>
          <w:rFonts w:ascii="Times New Roman" w:hAnsi="Times New Roman"/>
          <w:szCs w:val="28"/>
        </w:rPr>
        <w:t>, ZMIANA SWZ, PRZEDŁUŻENIE TERMINU SKŁADANIA OFERT</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994EDB" w:rsidRPr="00994EDB">
        <w:rPr>
          <w:sz w:val="22"/>
          <w:szCs w:val="22"/>
        </w:rPr>
        <w:t>Tryb podstawowy bez negocjacji - art. 275 pkt. 1 ustawy Pzp</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994EDB" w:rsidRPr="00994EDB">
        <w:rPr>
          <w:b/>
          <w:bCs/>
          <w:sz w:val="22"/>
          <w:szCs w:val="22"/>
        </w:rPr>
        <w:t>Dostawa serwerów dla Miejskiej Sieci Komputerowej CzestMAN Politechniki Częstochowskiej</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994EDB" w:rsidRPr="00994EDB">
        <w:rPr>
          <w:b/>
          <w:sz w:val="22"/>
          <w:szCs w:val="22"/>
        </w:rPr>
        <w:t>ZP/DK-21/21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994EDB" w:rsidRPr="00994EDB">
        <w:rPr>
          <w:b/>
          <w:sz w:val="22"/>
          <w:szCs w:val="22"/>
        </w:rPr>
        <w:t>Politechnika Częstochowska</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994EDB" w:rsidRPr="00994EDB">
        <w:rPr>
          <w:sz w:val="22"/>
          <w:szCs w:val="22"/>
        </w:rPr>
        <w:t>(t.j. Dz.U. 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994EDB" w:rsidRPr="006A5DF1" w:rsidTr="00B53F3B">
        <w:tc>
          <w:tcPr>
            <w:tcW w:w="9356" w:type="dxa"/>
            <w:shd w:val="clear" w:color="auto" w:fill="auto"/>
          </w:tcPr>
          <w:p w:rsidR="007270A2" w:rsidRPr="007270A2" w:rsidRDefault="007270A2" w:rsidP="00B53F3B">
            <w:pPr>
              <w:spacing w:after="60"/>
              <w:ind w:left="30" w:right="-72"/>
              <w:jc w:val="both"/>
              <w:rPr>
                <w:b/>
                <w:sz w:val="22"/>
                <w:szCs w:val="22"/>
              </w:rPr>
            </w:pPr>
            <w:r w:rsidRPr="007270A2">
              <w:rPr>
                <w:b/>
                <w:sz w:val="22"/>
                <w:szCs w:val="22"/>
              </w:rPr>
              <w:t>Pytanie do zadania nr 1.</w:t>
            </w:r>
          </w:p>
          <w:p w:rsidR="00994EDB" w:rsidRPr="007270A2" w:rsidRDefault="007270A2" w:rsidP="00B53F3B">
            <w:pPr>
              <w:spacing w:after="60"/>
              <w:ind w:left="30" w:right="-72"/>
              <w:jc w:val="both"/>
              <w:rPr>
                <w:sz w:val="22"/>
                <w:szCs w:val="22"/>
                <w:highlight w:val="darkGray"/>
              </w:rPr>
            </w:pPr>
            <w:r w:rsidRPr="007270A2">
              <w:rPr>
                <w:sz w:val="22"/>
                <w:szCs w:val="22"/>
              </w:rPr>
              <w:t>Proszę o wyjaśnienie, czy Oferenci powinni rozumieć ten zapis jako czas reakcji na otrzymane zgłoszenie serwisowe i rozpocząć procedurę diagnozowania usterki najpóźniej w następnym dniu roboczym?</w:t>
            </w:r>
          </w:p>
        </w:tc>
      </w:tr>
      <w:tr w:rsidR="00994EDB" w:rsidRPr="006A5DF1" w:rsidTr="00B53F3B">
        <w:tc>
          <w:tcPr>
            <w:tcW w:w="9356" w:type="dxa"/>
            <w:shd w:val="clear" w:color="auto" w:fill="auto"/>
          </w:tcPr>
          <w:p w:rsidR="007270A2" w:rsidRPr="007270A2" w:rsidRDefault="007270A2" w:rsidP="007270A2">
            <w:pPr>
              <w:spacing w:after="60"/>
              <w:ind w:right="-72"/>
              <w:jc w:val="both"/>
              <w:rPr>
                <w:sz w:val="22"/>
                <w:szCs w:val="22"/>
              </w:rPr>
            </w:pPr>
            <w:r w:rsidRPr="007270A2">
              <w:rPr>
                <w:sz w:val="22"/>
                <w:szCs w:val="22"/>
              </w:rPr>
              <w:t xml:space="preserve">Odpowiedź: </w:t>
            </w:r>
          </w:p>
          <w:p w:rsidR="007270A2" w:rsidRPr="007270A2" w:rsidRDefault="007270A2" w:rsidP="00B53F3B">
            <w:pPr>
              <w:spacing w:after="60"/>
              <w:ind w:left="30" w:right="-72"/>
              <w:jc w:val="both"/>
              <w:rPr>
                <w:b/>
                <w:sz w:val="22"/>
                <w:szCs w:val="22"/>
              </w:rPr>
            </w:pPr>
            <w:r w:rsidRPr="007270A2">
              <w:rPr>
                <w:b/>
                <w:sz w:val="22"/>
                <w:szCs w:val="22"/>
              </w:rPr>
              <w:t>Zapis, o którym mowa w pytaniu należy interpretować jako czas reakcji na otrzymane zgłoszenie serwisowe i rozpoczęcie procedury diagnozowania usterki.</w:t>
            </w:r>
          </w:p>
          <w:p w:rsidR="007270A2" w:rsidRPr="007270A2" w:rsidRDefault="007270A2" w:rsidP="00B53F3B">
            <w:pPr>
              <w:spacing w:after="60"/>
              <w:ind w:left="30" w:right="-72"/>
              <w:jc w:val="both"/>
              <w:rPr>
                <w:sz w:val="22"/>
                <w:szCs w:val="22"/>
              </w:rPr>
            </w:pPr>
          </w:p>
          <w:p w:rsidR="007270A2" w:rsidRPr="007270A2" w:rsidRDefault="007270A2" w:rsidP="00B53F3B">
            <w:pPr>
              <w:spacing w:after="60"/>
              <w:ind w:left="30" w:right="-72"/>
              <w:jc w:val="both"/>
              <w:rPr>
                <w:sz w:val="22"/>
                <w:szCs w:val="22"/>
              </w:rPr>
            </w:pPr>
          </w:p>
        </w:tc>
      </w:tr>
    </w:tbl>
    <w:p w:rsidR="00BE7BFD" w:rsidRPr="007270A2" w:rsidRDefault="007270A2" w:rsidP="00520165">
      <w:pPr>
        <w:jc w:val="both"/>
        <w:rPr>
          <w:b/>
          <w:sz w:val="22"/>
          <w:szCs w:val="22"/>
        </w:rPr>
      </w:pPr>
      <w:r w:rsidRPr="007270A2">
        <w:rPr>
          <w:b/>
          <w:sz w:val="22"/>
          <w:szCs w:val="22"/>
        </w:rPr>
        <w:t>Pytania do zadania nr 2:</w:t>
      </w: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 xml:space="preserve"> „Według najlepszej wiedzy Oferenta opisywane przez Zamawiającego wymagania techniczne dla Zadania 2. są jednocześnie spełniane jedynie dla platformy Proliant DL380 Gen 10 Plus producenta HPE, co bezpośrednio ogranicza konkurencyjność oraz jest sprzeczne z ustawą Pzp. W związku z powyższym wnioskujemy o zmianę wymagań dla poniżej wymienionych zapisów w cel zapewnienia konkurencyjności ofert i dopuszczenia rozwiązań innych producentów”</w:t>
      </w:r>
    </w:p>
    <w:p w:rsidR="00DA1781" w:rsidRPr="00DA1781" w:rsidRDefault="00DA1781" w:rsidP="00DA1781">
      <w:pPr>
        <w:jc w:val="both"/>
        <w:rPr>
          <w:sz w:val="22"/>
          <w:szCs w:val="22"/>
        </w:rPr>
      </w:pP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b/>
          <w:sz w:val="22"/>
          <w:szCs w:val="22"/>
        </w:rPr>
      </w:pPr>
      <w:r w:rsidRPr="00DA1781">
        <w:rPr>
          <w:b/>
          <w:sz w:val="22"/>
          <w:szCs w:val="22"/>
        </w:rPr>
        <w:t>Zgodnie z wiedzą Zamawiającego na rynku</w:t>
      </w:r>
      <w:r w:rsidR="00481E11">
        <w:rPr>
          <w:b/>
          <w:sz w:val="22"/>
          <w:szCs w:val="22"/>
        </w:rPr>
        <w:t xml:space="preserve"> EOG</w:t>
      </w:r>
      <w:r w:rsidRPr="00DA1781">
        <w:rPr>
          <w:b/>
          <w:sz w:val="22"/>
          <w:szCs w:val="22"/>
        </w:rPr>
        <w:t xml:space="preserve"> są dostępne co najmniej 2 rozwiązania spełniające przedstawione w SWZ wymagania techniczne, co nie ogranicza konkurencyjności i jest zgodne z ustawą PZP.</w:t>
      </w:r>
    </w:p>
    <w:p w:rsidR="00DA1781" w:rsidRPr="00DA1781" w:rsidRDefault="00DA1781" w:rsidP="00DA1781">
      <w:pPr>
        <w:jc w:val="both"/>
        <w:rPr>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 xml:space="preserve">„1) Element konfiguracji: Pamięć operacyjna Zamawiający wskazuje wymóg: „Obsługa zabezpieczeń: Advanced ECC i Online Spare”. Technologia „Advanced ECC” wskazuje na rozwiązania określonych </w:t>
      </w:r>
      <w:r w:rsidRPr="00DA1781">
        <w:rPr>
          <w:sz w:val="22"/>
          <w:szCs w:val="22"/>
        </w:rPr>
        <w:lastRenderedPageBreak/>
        <w:t>producentów - na rynku serwerów x86 istnieją rozwiązania o porównywalnej możliwości korekcji błędów (do 4 bitów) jednak innej implementacji np. SDDC, Chipkill. Wymóg tej konkretnie technologii korekcji błędów wraz z innymi określonymi przez Zamawiającego parametrami jednoznacznie wskazuje na rozwiązanie firmy HPE. W związku z powyższym, czy Zamawiający zaakceptuje serwer, który obsługuje zabezpieczenia Chipkill lub SDDC, jako rozwiązanie równoznaczne do Advanced ECC?”</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b/>
          <w:sz w:val="22"/>
          <w:szCs w:val="22"/>
        </w:rPr>
      </w:pPr>
      <w:r w:rsidRPr="00DA1781">
        <w:rPr>
          <w:b/>
          <w:sz w:val="22"/>
          <w:szCs w:val="22"/>
        </w:rPr>
        <w:t>Zamawiający dopuści pamięć operacyjną, która oprócz spełniania już określonych w SWZ wymagań, będzie także umożliwiała korekcję błędów ECC do 4 bitów.</w:t>
      </w:r>
    </w:p>
    <w:p w:rsidR="00DA1781" w:rsidRPr="00DA1781" w:rsidRDefault="00DA1781" w:rsidP="00DA1781">
      <w:pPr>
        <w:jc w:val="both"/>
        <w:rPr>
          <w:b/>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„2) Element konfiguracji: Dysk twardy Zamawiający wskazuje wymóg: „Serwer umożliwiający instalację pamięci flash w postaci kart micro SD/SD zapewniających minimalną pojemność 32GB i redundancję danych RAID-1. Zastosowane rozwiązanie musi posiadać gwarancję producenta serwera.” Wg. najlepszej wiedzy oferenta karty microSD są rozwiązaniem dedykowanym dla uruchamiania hypervisorów zajmujących niewielką przestrzeń dyskową (np. VMware ESXi, Hyper-V Core). Karty takie charakteryzują się niską wydajnością, w związku z tym stosowanie ich w systemach bare-metal jest ograniczone. Wymóg użycia konkretnego rodzaju pamięci (karty microSD) nie zapewnia korzyści, a przekłada się na znaczne ograniczenie konkurencyjności ofert. W związku z powyższym, czy Zamawiający zaakceptuje serwer, który posiada możliwość użycia dysków M.2 SSD działających w sprzętowym RAID 1, jako rozwiązanie o lepszych parametrach?”</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sz w:val="22"/>
          <w:szCs w:val="22"/>
        </w:rPr>
      </w:pPr>
      <w:r w:rsidRPr="00DA1781">
        <w:rPr>
          <w:b/>
          <w:sz w:val="22"/>
          <w:szCs w:val="22"/>
        </w:rPr>
        <w:t>Zamawiający podtrzymuje wymaganie i nie zgadza się na zaproponowaną zmianę. Tego typu wymaganie spełnia wiele dostępnych na polskim rynku platform serwerowych</w:t>
      </w:r>
      <w:r w:rsidRPr="00DA1781">
        <w:rPr>
          <w:sz w:val="22"/>
          <w:szCs w:val="22"/>
        </w:rPr>
        <w:t>.</w:t>
      </w:r>
    </w:p>
    <w:p w:rsidR="00DA1781" w:rsidRPr="00DA1781" w:rsidRDefault="00DA1781" w:rsidP="00DA1781">
      <w:pPr>
        <w:jc w:val="both"/>
        <w:rPr>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„3) Element konfiguracji: Porty Zamawiający wskazuje wymóg: „minimum 5 portów USB 3.0 (w tym 2 porty wewnętrzne)” Wg. najlepszej wiedzy Oferenta wymóg dostarczenia serwera wyposażonego w dwa porty USB wewnętrzne wraz z innymi parametrami określonymi przez Zamawiającego (karty GPU, procesory) w jednoznaczny sposób wskazuje na rozwiązanie firmy HPE. W związku z powyższym wnioskujemy o zmianę wymogu i dopuszczenie serwera wyposażonego w min. jeden port wew. USB.”</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b/>
          <w:sz w:val="22"/>
          <w:szCs w:val="22"/>
        </w:rPr>
      </w:pPr>
      <w:r w:rsidRPr="00DA1781">
        <w:rPr>
          <w:b/>
          <w:sz w:val="22"/>
          <w:szCs w:val="22"/>
        </w:rPr>
        <w:t>Zamawiający zgadza się na zaproponowaną zmianę i dopuszcza serwer wyposażony w minimum 5 portów USB 3.0 (w tym minimum 1 port wewnętrzny).</w:t>
      </w:r>
    </w:p>
    <w:p w:rsidR="00DA1781" w:rsidRPr="00DA1781" w:rsidRDefault="00DA1781" w:rsidP="00DA1781">
      <w:pPr>
        <w:jc w:val="both"/>
        <w:rPr>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„4) Element konfiguracji: Sloty rozszerzeń Zamawiający wskazuje wymóg: „Minimum 3 aktywne gniazda PCI-Express generacji 4.0, w tym min. 3 sloty x16 (szybkość slotu – bus width) pełnej wysokości (full height).” Czy Zamawiający dopuści serwer, który posiada min. 2 aktywne gniazda PCI-Express generacji 4.0? Pozwoli to na poszerzenie katalogu urządzeń, które wspierają wymagania Zamawiającego.”</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sz w:val="22"/>
          <w:szCs w:val="22"/>
        </w:rPr>
      </w:pPr>
      <w:r w:rsidRPr="00DA1781">
        <w:rPr>
          <w:b/>
          <w:sz w:val="22"/>
          <w:szCs w:val="22"/>
        </w:rPr>
        <w:t>Zamawiający podtrzymuje wymaganie i nie zgadza się na zaproponowaną zmian</w:t>
      </w:r>
      <w:r w:rsidR="00481E11">
        <w:rPr>
          <w:b/>
          <w:sz w:val="22"/>
          <w:szCs w:val="22"/>
        </w:rPr>
        <w:t>ę. Jest ono niezbędne dla pełnego wykorzystania możliwości sprzętu pod kątem jego rozbudowy.</w:t>
      </w:r>
      <w:r w:rsidR="00481E11">
        <w:rPr>
          <w:sz w:val="22"/>
          <w:szCs w:val="22"/>
        </w:rPr>
        <w:t xml:space="preserve"> </w:t>
      </w:r>
    </w:p>
    <w:p w:rsidR="00DA1781" w:rsidRPr="00DA1781" w:rsidRDefault="00DA1781" w:rsidP="00DA1781">
      <w:pPr>
        <w:jc w:val="both"/>
        <w:rPr>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„5) Element konfiguracji: Porty Zamawiający wskazuje wymóg: „dodatkowy port typu Display Port dostępny z przodu serwera” Powyższy wymóg wskazuje jednoznacznie na rozwiązanie firmy HPE. Standardem w urządzeniach serwerowych jest złącze VGA posiadające parametry transmisji wystarczające do celów administracyjnych. W zawiązku z powyższym, czy Zamawiający dopuści serwer wyposażony w złącze VGA zamiast display port?”</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b/>
          <w:sz w:val="22"/>
          <w:szCs w:val="22"/>
        </w:rPr>
      </w:pPr>
      <w:r w:rsidRPr="00DA1781">
        <w:rPr>
          <w:b/>
          <w:sz w:val="22"/>
          <w:szCs w:val="22"/>
        </w:rPr>
        <w:t>Zamawiający zgadza się na zaproponowaną zmianę i dopuszcza serwer wyposażony z przodu w złącze karty graficznej w standardzie min. VGA.</w:t>
      </w:r>
    </w:p>
    <w:p w:rsidR="00DA1781" w:rsidRPr="00DA1781" w:rsidRDefault="00DA1781" w:rsidP="00DA1781">
      <w:pPr>
        <w:jc w:val="both"/>
        <w:rPr>
          <w:sz w:val="22"/>
          <w:szCs w:val="22"/>
        </w:rPr>
      </w:pPr>
    </w:p>
    <w:p w:rsidR="00DA1781" w:rsidRPr="00DA1781" w:rsidRDefault="00DA1781" w:rsidP="00DA1781">
      <w:pPr>
        <w:jc w:val="both"/>
        <w:rPr>
          <w:sz w:val="22"/>
          <w:szCs w:val="22"/>
        </w:rPr>
      </w:pPr>
    </w:p>
    <w:p w:rsidR="00DA1781" w:rsidRPr="00DA1781" w:rsidRDefault="00DA1781" w:rsidP="00DA1781">
      <w:pPr>
        <w:jc w:val="both"/>
        <w:rPr>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„6) Element konfiguracji: Karta/moduł zarządzający Wg. najlepszej wiedzy Oferenta określone przez Zamawiającego parametry są spełnianie tylko dla karty iLO dostępnej w serwerach HPE. W związku z powyższym, czy Zamawiający dopuści serwer, którego karta/moduł zarządzający będzie spełniał poniższe wymagania? Niezależna od system operacyjnego, zintegrowana z płytą główną serwera lub jako dodatkowa karta w slocie PCI Express: • monitorowanie podzespołów serwera: temperatura, zasilacze, wentylatory, procesory, pamięć RAM, kontrolery macierzowe i dyski(fizyczne i logiczne), karty sieciowe; • możliwość pracy w trybie bez agentowym lub agentowym; • dostęp do karty zarządzającej poprzez dedykowany port RJ45 z tyłu serwera lub przez współdzielony port zintegrowanej karty sieciowej serwera; • dostęp do karty: - z poziomu przeglądarki webowej (GUI) - IPMI 2.0 - zgodnie z DMTF SMASH lub przy użyciu REST API - wbudowane narzędzia diagnostyczne • zdalna konfiguracji serwera (BIOS) i instalacji systemu operacyjnego; • wbudowany mechanizm logowania zdarzeń serwera i karty zarządzającej w tym włączanie/wyłączanie serwera, restart, zmiany w konfiguracji, logowanie użytkowników; • obsługa zdalnego serwera logowania (remote syslog); • wirtualna zdalna konsola, tekstowa i graficzna, z dostępem do myszy i klawiatury i możliwością podłączenia wirtualnych napędów FDD, CD/DVD i USB; • mechanizm przechwytywania, nagrywania i odtwarzania sekwencji wideo dla ostatniej awarii i ostatniego startu serwera a także nagrywanie na żądanie; • monitorowanie zasilania oraz zużycia energii przez serwer w czasie rzeczywistym z możliwością graficznej prezentacji; • konfiguracja maksymalnego poziomu pobieranej mocy przez serwer (capping); • zdalna aktualizacja oprogramowania (firmware); • możliwość równoczesnej obsługi przez 6 administratorów; • obsługa SSL i SSH; • wsparcie dla IPv4 oraz iPv6, obsługa SNMP v3 oraz RESTful API; • możliwość autokonfiguracji sieci karty zarządzającej (DNS/DHCP);”</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b/>
          <w:sz w:val="22"/>
          <w:szCs w:val="22"/>
        </w:rPr>
      </w:pPr>
      <w:r w:rsidRPr="00DA1781">
        <w:rPr>
          <w:b/>
          <w:sz w:val="22"/>
          <w:szCs w:val="22"/>
        </w:rPr>
        <w:t>Zamawiający dopuści zaproponowane rozwiązanie, o ile, poza wymienionymi funkcjonalnościami,  dodatkowo będzie obsługiwało integrację z Microsoft Active Directory oraz szyfrowanie AES/DES dla zdalnej konsoli.</w:t>
      </w:r>
    </w:p>
    <w:p w:rsidR="00DA1781" w:rsidRPr="00DA1781" w:rsidRDefault="00DA1781" w:rsidP="00DA1781">
      <w:pPr>
        <w:jc w:val="both"/>
        <w:rPr>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„7) Element konfiguracji: wsparcie dla systemów operacyjnych i systemów wirtualizacyjnych Zamawiający wskazuje wymóg: Wsparcie dla systemów operacyjnych i systemów wirtualizacyjnych: „ […] VMware ESXi 6.7 U3, 7.0 U1, 7.0 U2 ” Wg. listy HCL firmy VMware najnowsze platformy serwerowe wykorzystujące procesory Intel Scalable 3rd gen. – spełniające wymagania Zamawiającego – dla większości wspierają VMWare ESXi tylko w najnowszej wersji 7.0 U2. W związku powyższym, czy Zamawiający dopuści serwer, który wspiera jedynie najnowsza wersję systemu Vmware ESXI 7.0 U2? W przypadku odpowiedzi negatywnej prosimy o wskazanie w jakim zakresie wsparcie to powinno być realizowane.”</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b/>
          <w:sz w:val="22"/>
          <w:szCs w:val="22"/>
        </w:rPr>
      </w:pPr>
      <w:r w:rsidRPr="00DA1781">
        <w:rPr>
          <w:b/>
          <w:sz w:val="22"/>
          <w:szCs w:val="22"/>
        </w:rPr>
        <w:t>Zamawiający podtrzymuje wymaganie i nie zgadza się na zaproponowaną zmianę. Na liście HCL firmy Vmware na którą powołuje się Wykonawca, znajduje się wiele platform serwerowych różnych producentów, które wspierają zarówno wersje 6.7, jak i 7.0.</w:t>
      </w:r>
    </w:p>
    <w:p w:rsidR="00DA1781" w:rsidRPr="00DA1781" w:rsidRDefault="00DA1781" w:rsidP="00DA1781">
      <w:pPr>
        <w:jc w:val="both"/>
        <w:rPr>
          <w:b/>
          <w:sz w:val="22"/>
          <w:szCs w:val="22"/>
        </w:rPr>
      </w:pP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„8) Element konfiguracji: System operacyjny Zamawiający wskazuje wymóg: „Urządzenie musi być dostarczone z zainstalowanym systemem operacyjnym Linux Ubuntu Server 20.04 LTS w najnowszej wersji.” Według najlepszej wiedzy Oferenta, wymóg ten w połączeniu z pozostałymi wskazuje jednoznacznie na jednego, wybranego producenta HPE. W związku z powyższym wnioskujemy o dopuszczenie serwera z zainstalowanym systemem operacyjnym Red Hat Enterprise Linux (RHEL) 7.9 lub 8.2 oraz usunięcie wymogu wsparcia systemu Ubuntu 20.04 LTS z listy wspieranych systemów operacyjnych.”</w:t>
      </w:r>
    </w:p>
    <w:p w:rsidR="00DA1781" w:rsidRPr="00DA1781" w:rsidRDefault="00DA1781" w:rsidP="00DA1781">
      <w:pPr>
        <w:jc w:val="both"/>
        <w:rPr>
          <w:b/>
          <w:sz w:val="22"/>
          <w:szCs w:val="22"/>
        </w:rPr>
      </w:pPr>
      <w:r w:rsidRPr="00DA1781">
        <w:rPr>
          <w:b/>
          <w:sz w:val="22"/>
          <w:szCs w:val="22"/>
        </w:rPr>
        <w:t>Odpowiedź:</w:t>
      </w:r>
    </w:p>
    <w:p w:rsidR="00DA1781" w:rsidRPr="00DA1781" w:rsidRDefault="00DA1781" w:rsidP="00DA1781">
      <w:pPr>
        <w:jc w:val="both"/>
        <w:rPr>
          <w:b/>
          <w:sz w:val="22"/>
          <w:szCs w:val="22"/>
        </w:rPr>
      </w:pPr>
      <w:r w:rsidRPr="00DA1781">
        <w:rPr>
          <w:b/>
          <w:sz w:val="22"/>
          <w:szCs w:val="22"/>
        </w:rPr>
        <w:t xml:space="preserve">Zamawiający podtrzymuje wymaganie i nie zgadza się na zaproponowaną zmianę. W projektach realizowanych przez zamawiającego w większości wykorzystuje się oprogramowanie typu open-source na bezpłatnym modelu licencjonowania, nie generującego kosztów w perspektywie czasu. </w:t>
      </w:r>
      <w:r w:rsidRPr="00DA1781">
        <w:rPr>
          <w:b/>
          <w:sz w:val="22"/>
          <w:szCs w:val="22"/>
        </w:rPr>
        <w:lastRenderedPageBreak/>
        <w:t>Dlatego oprócz komercyjnego systemu typu Red Hat Enterprise Linux, niezbędne jest wsparcie dla aktualnych wersji systemu Linux opartych na bezpłatnych dystrybucjach, a  w szczególności na dystrybucji Ubuntu Server 20.04 LTS i późniejszych.</w:t>
      </w:r>
    </w:p>
    <w:p w:rsidR="00DA1781" w:rsidRPr="00DA1781" w:rsidRDefault="00DA1781" w:rsidP="00DA1781">
      <w:pPr>
        <w:jc w:val="both"/>
        <w:rPr>
          <w:sz w:val="22"/>
          <w:szCs w:val="22"/>
        </w:rPr>
      </w:pPr>
      <w:r w:rsidRPr="00DA1781">
        <w:rPr>
          <w:sz w:val="22"/>
          <w:szCs w:val="22"/>
        </w:rPr>
        <w:t>Pytanie:</w:t>
      </w:r>
    </w:p>
    <w:p w:rsidR="00DA1781" w:rsidRPr="00DA1781" w:rsidRDefault="00DA1781" w:rsidP="00DA1781">
      <w:pPr>
        <w:jc w:val="both"/>
        <w:rPr>
          <w:sz w:val="22"/>
          <w:szCs w:val="22"/>
        </w:rPr>
      </w:pPr>
      <w:r w:rsidRPr="00DA1781">
        <w:rPr>
          <w:sz w:val="22"/>
          <w:szCs w:val="22"/>
        </w:rPr>
        <w:t>„9) Element konfiguracji: Interfejsy sieciowe Zamawiający wskazuje wymóg: „Minimum 4 porty Ethernet 100/1000 Mb/s RJ-45 z funkcją Wake-On-LAN, wsparciem dla PXE, które nie zajmują gniazd PCIe opisanych w sekcji „Sloty rozszerzeń”. Według najlepszej wiedzy Oferenta, wymóg ten w połączeniu z pozostałymi wskazuje jednoznacznie na jednego, wybranego producenta HPE. W związku z powyższym czy Zamawiający dopuści rozwiązanie posiadające minimum 4 porty Ethernet 100/1000 Mb/s RJ-45 z czego jeden wspiera funkcję Wake-On-LAN?”</w:t>
      </w:r>
    </w:p>
    <w:p w:rsidR="00DA1781" w:rsidRPr="00DA1781" w:rsidRDefault="00DA1781" w:rsidP="00DA1781">
      <w:pPr>
        <w:jc w:val="both"/>
        <w:rPr>
          <w:b/>
          <w:sz w:val="22"/>
          <w:szCs w:val="22"/>
        </w:rPr>
      </w:pPr>
      <w:r w:rsidRPr="00DA1781">
        <w:rPr>
          <w:b/>
          <w:sz w:val="22"/>
          <w:szCs w:val="22"/>
        </w:rPr>
        <w:t>Odpowiedź:</w:t>
      </w:r>
    </w:p>
    <w:p w:rsidR="007270A2" w:rsidRPr="00DA1781" w:rsidRDefault="00DA1781" w:rsidP="00DA1781">
      <w:pPr>
        <w:jc w:val="both"/>
        <w:rPr>
          <w:b/>
          <w:i/>
          <w:sz w:val="22"/>
          <w:szCs w:val="22"/>
        </w:rPr>
      </w:pPr>
      <w:r w:rsidRPr="00DA1781">
        <w:rPr>
          <w:b/>
          <w:sz w:val="22"/>
          <w:szCs w:val="22"/>
        </w:rPr>
        <w:t>Zamawiający podtrzymuje wymaganie i nie zgadza się na zaproponowaną zmianę.</w:t>
      </w:r>
      <w:r w:rsidR="000634C7">
        <w:rPr>
          <w:b/>
          <w:sz w:val="22"/>
          <w:szCs w:val="22"/>
        </w:rPr>
        <w:t xml:space="preserve"> </w:t>
      </w:r>
      <w:r w:rsidRPr="00DA1781">
        <w:rPr>
          <w:b/>
          <w:sz w:val="22"/>
          <w:szCs w:val="22"/>
        </w:rPr>
        <w:t>Wskazana minimalna liczba portów posiadających funkcjonalność Wake-On-Lan  oraz wsparcie PXE, wynika z potrzeby zapewnienia redundancji portów sieciowych  o powyższej funkcjonalności uzyskiwanej poprzez zwielokrotnienie wskazanych portów  sieciowych. Powyższe wymagania zapewniają uniwersalność konfiguracji sieciowej nie tylko w chwili uruchomienia platformy, ale również w późniejszym czasie gdy zachodzi konieczność adaptacji.</w:t>
      </w:r>
      <w:r w:rsidR="007270A2" w:rsidRPr="00DA1781">
        <w:rPr>
          <w:b/>
          <w:sz w:val="22"/>
          <w:szCs w:val="22"/>
        </w:rPr>
        <w:t>.</w:t>
      </w:r>
    </w:p>
    <w:p w:rsidR="00792235" w:rsidRDefault="00792235" w:rsidP="00792235">
      <w:pPr>
        <w:jc w:val="both"/>
        <w:rPr>
          <w:sz w:val="22"/>
          <w:szCs w:val="22"/>
        </w:rPr>
      </w:pPr>
    </w:p>
    <w:p w:rsidR="00792235" w:rsidRDefault="00792235" w:rsidP="00792235">
      <w:pPr>
        <w:spacing w:line="360" w:lineRule="auto"/>
        <w:ind w:firstLine="708"/>
        <w:jc w:val="both"/>
        <w:rPr>
          <w:sz w:val="22"/>
          <w:szCs w:val="22"/>
        </w:rPr>
      </w:pPr>
      <w:r w:rsidRPr="00792235">
        <w:rPr>
          <w:sz w:val="22"/>
          <w:szCs w:val="22"/>
        </w:rPr>
        <w:t xml:space="preserve">Z uwagi na powyższe Zamawiający na podstawie art. 286 ust. 3 przedłuża </w:t>
      </w:r>
      <w:r>
        <w:rPr>
          <w:sz w:val="22"/>
          <w:szCs w:val="22"/>
        </w:rPr>
        <w:t xml:space="preserve">termin składania ofert do dnia </w:t>
      </w:r>
      <w:r w:rsidRPr="00792235">
        <w:rPr>
          <w:b/>
          <w:sz w:val="22"/>
          <w:szCs w:val="22"/>
        </w:rPr>
        <w:t>28.09.2021 r. do godz. 10:00.</w:t>
      </w:r>
      <w:r w:rsidRPr="00792235">
        <w:rPr>
          <w:sz w:val="22"/>
          <w:szCs w:val="22"/>
        </w:rPr>
        <w:t xml:space="preserve"> Otwarcie ofert</w:t>
      </w:r>
      <w:r>
        <w:rPr>
          <w:sz w:val="22"/>
          <w:szCs w:val="22"/>
        </w:rPr>
        <w:t xml:space="preserve"> nastąpi tego samego dnia tj. 2</w:t>
      </w:r>
      <w:r w:rsidRPr="00792235">
        <w:rPr>
          <w:b/>
          <w:sz w:val="22"/>
          <w:szCs w:val="22"/>
        </w:rPr>
        <w:t xml:space="preserve">8.09.2021 r. o godz. 11:30. </w:t>
      </w:r>
    </w:p>
    <w:p w:rsidR="007270A2" w:rsidRDefault="00792235" w:rsidP="00792235">
      <w:pPr>
        <w:spacing w:line="360" w:lineRule="auto"/>
        <w:jc w:val="both"/>
        <w:rPr>
          <w:sz w:val="22"/>
          <w:szCs w:val="22"/>
        </w:rPr>
      </w:pPr>
      <w:r w:rsidRPr="00792235">
        <w:rPr>
          <w:sz w:val="22"/>
          <w:szCs w:val="22"/>
        </w:rPr>
        <w:t>Wykonawca pozostaje z</w:t>
      </w:r>
      <w:r>
        <w:rPr>
          <w:sz w:val="22"/>
          <w:szCs w:val="22"/>
        </w:rPr>
        <w:t>wiązany ofertą do dnia 2021-10-27.</w:t>
      </w:r>
      <w:r w:rsidRPr="00792235">
        <w:rPr>
          <w:sz w:val="22"/>
          <w:szCs w:val="22"/>
        </w:rPr>
        <w:t xml:space="preserve"> </w:t>
      </w:r>
    </w:p>
    <w:p w:rsidR="00481E11" w:rsidRPr="00160FAD" w:rsidRDefault="00481E11" w:rsidP="00481E11">
      <w:pPr>
        <w:rPr>
          <w:b/>
          <w:sz w:val="24"/>
          <w:szCs w:val="24"/>
        </w:rPr>
      </w:pPr>
      <w:r>
        <w:rPr>
          <w:b/>
          <w:sz w:val="24"/>
          <w:szCs w:val="24"/>
        </w:rPr>
        <w:t xml:space="preserve">                                                                                                                      </w:t>
      </w:r>
      <w:r w:rsidRPr="00160FAD">
        <w:rPr>
          <w:b/>
          <w:sz w:val="24"/>
          <w:szCs w:val="24"/>
        </w:rPr>
        <w:t>Kanclerz</w:t>
      </w:r>
    </w:p>
    <w:p w:rsidR="00481E11" w:rsidRPr="00160FAD" w:rsidRDefault="00481E11" w:rsidP="00481E11">
      <w:pPr>
        <w:jc w:val="right"/>
        <w:rPr>
          <w:b/>
          <w:sz w:val="24"/>
          <w:szCs w:val="24"/>
        </w:rPr>
      </w:pPr>
      <w:r w:rsidRPr="00160FAD">
        <w:rPr>
          <w:b/>
          <w:sz w:val="24"/>
          <w:szCs w:val="24"/>
        </w:rPr>
        <w:t>Politechniki Częstochowskiej</w:t>
      </w:r>
    </w:p>
    <w:p w:rsidR="00481E11" w:rsidRPr="00160FAD" w:rsidRDefault="00481E11" w:rsidP="00481E11">
      <w:pPr>
        <w:jc w:val="right"/>
        <w:rPr>
          <w:b/>
          <w:sz w:val="24"/>
          <w:szCs w:val="24"/>
        </w:rPr>
      </w:pPr>
      <w:r w:rsidRPr="00160FAD">
        <w:rPr>
          <w:b/>
          <w:sz w:val="24"/>
          <w:szCs w:val="24"/>
        </w:rPr>
        <w:t>dr inż. Arkadiusz Kociszewski</w:t>
      </w:r>
    </w:p>
    <w:p w:rsidR="00481E11" w:rsidRPr="006A5DF1" w:rsidRDefault="00481E11" w:rsidP="00792235">
      <w:pPr>
        <w:spacing w:line="360" w:lineRule="auto"/>
        <w:jc w:val="both"/>
        <w:rPr>
          <w:sz w:val="22"/>
          <w:szCs w:val="22"/>
        </w:rPr>
      </w:pPr>
    </w:p>
    <w:sectPr w:rsidR="00481E11"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AB1" w:rsidRDefault="00923AB1">
      <w:r>
        <w:separator/>
      </w:r>
    </w:p>
  </w:endnote>
  <w:endnote w:type="continuationSeparator" w:id="0">
    <w:p w:rsidR="00923AB1" w:rsidRDefault="00923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79223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0F46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26453">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AB1" w:rsidRDefault="00923AB1">
      <w:r>
        <w:separator/>
      </w:r>
    </w:p>
  </w:footnote>
  <w:footnote w:type="continuationSeparator" w:id="0">
    <w:p w:rsidR="00923AB1" w:rsidRDefault="00923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EDB" w:rsidRDefault="00994E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EDB" w:rsidRDefault="00994ED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EDB" w:rsidRDefault="00994E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7D"/>
    <w:rsid w:val="00031374"/>
    <w:rsid w:val="000634C7"/>
    <w:rsid w:val="000A1097"/>
    <w:rsid w:val="000E2A8F"/>
    <w:rsid w:val="00126453"/>
    <w:rsid w:val="0012774F"/>
    <w:rsid w:val="00144B7A"/>
    <w:rsid w:val="00180C6E"/>
    <w:rsid w:val="0029606A"/>
    <w:rsid w:val="00481E11"/>
    <w:rsid w:val="004848F3"/>
    <w:rsid w:val="004A75F2"/>
    <w:rsid w:val="005144A9"/>
    <w:rsid w:val="00520165"/>
    <w:rsid w:val="005B1B08"/>
    <w:rsid w:val="00632C3C"/>
    <w:rsid w:val="00662BDB"/>
    <w:rsid w:val="006A5DF1"/>
    <w:rsid w:val="006B7198"/>
    <w:rsid w:val="006D4AB3"/>
    <w:rsid w:val="006F3B81"/>
    <w:rsid w:val="007270A2"/>
    <w:rsid w:val="00792235"/>
    <w:rsid w:val="007D7198"/>
    <w:rsid w:val="00853C7D"/>
    <w:rsid w:val="00870F9F"/>
    <w:rsid w:val="008804B6"/>
    <w:rsid w:val="00897AB0"/>
    <w:rsid w:val="008A3553"/>
    <w:rsid w:val="00923AB1"/>
    <w:rsid w:val="00994EDB"/>
    <w:rsid w:val="00A70831"/>
    <w:rsid w:val="00A905AC"/>
    <w:rsid w:val="00BA6584"/>
    <w:rsid w:val="00BE7BFD"/>
    <w:rsid w:val="00C370F2"/>
    <w:rsid w:val="00C44EEC"/>
    <w:rsid w:val="00D22FFA"/>
    <w:rsid w:val="00D8461B"/>
    <w:rsid w:val="00D915F2"/>
    <w:rsid w:val="00DA1781"/>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50011C"/>
  <w15:chartTrackingRefBased/>
  <w15:docId w15:val="{795AD3FF-A1B7-4ABE-87CE-429F7DD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107</TotalTime>
  <Pages>4</Pages>
  <Words>1614</Words>
  <Characters>9685</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Zyngier</dc:creator>
  <cp:keywords/>
  <cp:lastModifiedBy>Łukasz Zyngier</cp:lastModifiedBy>
  <cp:revision>6</cp:revision>
  <cp:lastPrinted>2021-09-20T10:12:00Z</cp:lastPrinted>
  <dcterms:created xsi:type="dcterms:W3CDTF">2021-09-16T07:16:00Z</dcterms:created>
  <dcterms:modified xsi:type="dcterms:W3CDTF">2021-09-20T11:37:00Z</dcterms:modified>
</cp:coreProperties>
</file>