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C693E" w:rsidRDefault="006F1AB1" w:rsidP="005C693E">
      <w:pPr>
        <w:jc w:val="right"/>
      </w:pPr>
      <w:r w:rsidRPr="005C693E">
        <w:t>Częstochowa</w:t>
      </w:r>
      <w:r w:rsidR="006A5DF1" w:rsidRPr="005C693E">
        <w:t xml:space="preserve"> dnia: </w:t>
      </w:r>
      <w:r w:rsidRPr="005C693E">
        <w:t>2021-09-0</w:t>
      </w:r>
      <w:r w:rsidR="005C693E">
        <w:t>9</w:t>
      </w:r>
    </w:p>
    <w:p w:rsidR="006A5DF1" w:rsidRPr="005C693E" w:rsidRDefault="006F1AB1" w:rsidP="005C693E">
      <w:pPr>
        <w:rPr>
          <w:b/>
          <w:bCs/>
        </w:rPr>
      </w:pPr>
      <w:r w:rsidRPr="005C693E">
        <w:rPr>
          <w:b/>
          <w:bCs/>
        </w:rPr>
        <w:t>Politechnika Częstochowska</w:t>
      </w:r>
    </w:p>
    <w:p w:rsidR="006A5DF1" w:rsidRPr="005C693E" w:rsidRDefault="006F1AB1" w:rsidP="005C693E">
      <w:r w:rsidRPr="005C693E">
        <w:t>Dąbrowskiego</w:t>
      </w:r>
      <w:r w:rsidR="006A5DF1" w:rsidRPr="005C693E">
        <w:t xml:space="preserve"> </w:t>
      </w:r>
      <w:r w:rsidRPr="005C693E">
        <w:t>69</w:t>
      </w:r>
    </w:p>
    <w:p w:rsidR="006A5DF1" w:rsidRPr="005C693E" w:rsidRDefault="006F1AB1" w:rsidP="005C693E">
      <w:r w:rsidRPr="005C693E">
        <w:t>42-201</w:t>
      </w:r>
      <w:r w:rsidR="006A5DF1" w:rsidRPr="005C693E">
        <w:t xml:space="preserve"> </w:t>
      </w:r>
      <w:r w:rsidRPr="005C693E">
        <w:t>Częstochowa</w:t>
      </w:r>
    </w:p>
    <w:p w:rsidR="006A5DF1" w:rsidRPr="005C693E" w:rsidRDefault="006A5DF1" w:rsidP="005C693E">
      <w:pPr>
        <w:pStyle w:val="Nagwek"/>
        <w:tabs>
          <w:tab w:val="clear" w:pos="4536"/>
        </w:tabs>
      </w:pPr>
      <w:r w:rsidRPr="005C693E">
        <w:t>Pismo:</w:t>
      </w:r>
      <w:r w:rsidRPr="005C693E">
        <w:rPr>
          <w:b/>
          <w:bCs/>
        </w:rPr>
        <w:t xml:space="preserve"> </w:t>
      </w:r>
      <w:r w:rsidR="00C542CE" w:rsidRPr="005C693E">
        <w:rPr>
          <w:bCs/>
        </w:rPr>
        <w:t xml:space="preserve">RK </w:t>
      </w:r>
      <w:r w:rsidR="00DA6317">
        <w:rPr>
          <w:bCs/>
        </w:rPr>
        <w:t>–</w:t>
      </w:r>
      <w:r w:rsidR="00C542CE" w:rsidRPr="005C693E">
        <w:rPr>
          <w:bCs/>
        </w:rPr>
        <w:t xml:space="preserve"> </w:t>
      </w:r>
      <w:r w:rsidR="00DA6317">
        <w:rPr>
          <w:bCs/>
        </w:rPr>
        <w:t>615/21</w:t>
      </w:r>
      <w:r w:rsidRPr="005C693E">
        <w:tab/>
        <w:t xml:space="preserve"> </w:t>
      </w:r>
    </w:p>
    <w:p w:rsidR="006A5DF1" w:rsidRPr="005C693E" w:rsidRDefault="006A5DF1" w:rsidP="005C693E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5C693E">
        <w:rPr>
          <w:b/>
        </w:rPr>
        <w:t>WYKONAWCY</w:t>
      </w:r>
    </w:p>
    <w:p w:rsidR="006A5DF1" w:rsidRPr="005C693E" w:rsidRDefault="006A5DF1" w:rsidP="005C693E">
      <w:pPr>
        <w:tabs>
          <w:tab w:val="left" w:pos="708"/>
          <w:tab w:val="center" w:pos="4536"/>
          <w:tab w:val="right" w:pos="9072"/>
        </w:tabs>
        <w:ind w:left="5245"/>
      </w:pPr>
      <w:bookmarkStart w:id="0" w:name="_GoBack"/>
      <w:bookmarkEnd w:id="0"/>
      <w:r w:rsidRPr="005C693E">
        <w:t>ubiegający się o zamówienie publiczne</w:t>
      </w:r>
    </w:p>
    <w:p w:rsidR="006853AB" w:rsidRDefault="006853AB" w:rsidP="005C693E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</w:p>
    <w:p w:rsidR="005C693E" w:rsidRPr="005C693E" w:rsidRDefault="00E21B49" w:rsidP="005C693E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5C693E">
        <w:rPr>
          <w:rFonts w:ascii="Times New Roman" w:hAnsi="Times New Roman"/>
          <w:sz w:val="20"/>
        </w:rPr>
        <w:t>WYJAŚNIENI</w:t>
      </w:r>
      <w:r w:rsidR="00520165" w:rsidRPr="005C693E">
        <w:rPr>
          <w:rFonts w:ascii="Times New Roman" w:hAnsi="Times New Roman"/>
          <w:sz w:val="20"/>
        </w:rPr>
        <w:t>A</w:t>
      </w:r>
      <w:r w:rsidR="00632C3C" w:rsidRPr="005C693E">
        <w:rPr>
          <w:rFonts w:ascii="Times New Roman" w:hAnsi="Times New Roman"/>
          <w:sz w:val="20"/>
        </w:rPr>
        <w:t xml:space="preserve"> TREŚCI</w:t>
      </w:r>
      <w:r w:rsidR="0029606A" w:rsidRPr="005C693E">
        <w:rPr>
          <w:rFonts w:ascii="Times New Roman" w:hAnsi="Times New Roman"/>
          <w:sz w:val="20"/>
        </w:rPr>
        <w:t xml:space="preserve"> SWZ</w:t>
      </w:r>
      <w:r w:rsidR="005C693E" w:rsidRPr="005C693E">
        <w:rPr>
          <w:rFonts w:ascii="Times New Roman" w:hAnsi="Times New Roman"/>
          <w:sz w:val="20"/>
        </w:rPr>
        <w:t xml:space="preserve">, ZMIANA SWZ </w:t>
      </w:r>
    </w:p>
    <w:p w:rsidR="00632C3C" w:rsidRDefault="005C693E" w:rsidP="005C693E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5C693E">
        <w:rPr>
          <w:rFonts w:ascii="Times New Roman" w:hAnsi="Times New Roman"/>
          <w:sz w:val="20"/>
        </w:rPr>
        <w:t>ORAZ PRZEDŁUŻENIE TERMINU SKŁADANIA OFERT</w:t>
      </w:r>
    </w:p>
    <w:p w:rsidR="005C693E" w:rsidRPr="005C693E" w:rsidRDefault="005C693E" w:rsidP="005C693E"/>
    <w:p w:rsidR="006D4AB3" w:rsidRPr="005C693E" w:rsidRDefault="00632C3C" w:rsidP="005C693E">
      <w:pPr>
        <w:jc w:val="both"/>
      </w:pPr>
      <w:r w:rsidRPr="005C693E">
        <w:t xml:space="preserve">Dotyczy: </w:t>
      </w:r>
      <w:r w:rsidR="006A5DF1" w:rsidRPr="005C693E">
        <w:t>p</w:t>
      </w:r>
      <w:r w:rsidRPr="005C693E">
        <w:t>ostępowani</w:t>
      </w:r>
      <w:r w:rsidR="006A5DF1" w:rsidRPr="005C693E">
        <w:t>a</w:t>
      </w:r>
      <w:r w:rsidRPr="005C693E">
        <w:t xml:space="preserve"> o udzielenie zamówienia publicznego, prowadzone</w:t>
      </w:r>
      <w:r w:rsidR="006A5DF1" w:rsidRPr="005C693E">
        <w:t>go</w:t>
      </w:r>
      <w:r w:rsidRPr="005C693E">
        <w:t xml:space="preserve"> w trybie </w:t>
      </w:r>
      <w:r w:rsidR="006F1AB1" w:rsidRPr="005C693E">
        <w:t>przetarg nieograniczony</w:t>
      </w:r>
      <w:r w:rsidRPr="005C693E">
        <w:rPr>
          <w:b/>
        </w:rPr>
        <w:t xml:space="preserve"> </w:t>
      </w:r>
      <w:r w:rsidRPr="005C693E">
        <w:rPr>
          <w:bCs/>
        </w:rPr>
        <w:t>na</w:t>
      </w:r>
      <w:r w:rsidRPr="005C693E">
        <w:rPr>
          <w:b/>
        </w:rPr>
        <w:t xml:space="preserve"> </w:t>
      </w:r>
      <w:r w:rsidR="00E72428" w:rsidRPr="005C693E">
        <w:rPr>
          <w:bCs/>
        </w:rPr>
        <w:t>”</w:t>
      </w:r>
      <w:r w:rsidR="006F1AB1" w:rsidRPr="005C693E">
        <w:rPr>
          <w:b/>
          <w:bCs/>
        </w:rPr>
        <w:t>Sukcesywna dostawa sprzętu i oprogramowania dla jednostek organizacyjnych Politechniki Częstochowskiej</w:t>
      </w:r>
      <w:r w:rsidR="00E72428" w:rsidRPr="005C693E">
        <w:rPr>
          <w:bCs/>
        </w:rPr>
        <w:t>”</w:t>
      </w:r>
      <w:r w:rsidRPr="005C693E">
        <w:rPr>
          <w:b/>
        </w:rPr>
        <w:t xml:space="preserve"> </w:t>
      </w:r>
      <w:r w:rsidRPr="005C693E">
        <w:rPr>
          <w:bCs/>
        </w:rPr>
        <w:t>– znak sprawy</w:t>
      </w:r>
      <w:r w:rsidRPr="005C693E">
        <w:rPr>
          <w:b/>
        </w:rPr>
        <w:t xml:space="preserve"> </w:t>
      </w:r>
      <w:r w:rsidR="006F1AB1" w:rsidRPr="005C693E">
        <w:rPr>
          <w:b/>
        </w:rPr>
        <w:t>ZP/DK-19/21</w:t>
      </w:r>
      <w:r w:rsidRPr="005C693E">
        <w:rPr>
          <w:b/>
        </w:rPr>
        <w:t>.</w:t>
      </w:r>
    </w:p>
    <w:p w:rsidR="0012774F" w:rsidRPr="005C693E" w:rsidRDefault="00520165" w:rsidP="005C693E">
      <w:pPr>
        <w:jc w:val="both"/>
      </w:pPr>
      <w:r w:rsidRPr="005C693E">
        <w:t xml:space="preserve">Zamawiający, </w:t>
      </w:r>
      <w:r w:rsidR="006F1AB1" w:rsidRPr="005C693E">
        <w:rPr>
          <w:b/>
        </w:rPr>
        <w:t>Politechnika Częstochowska</w:t>
      </w:r>
      <w:r w:rsidRPr="005C693E">
        <w:t xml:space="preserve">, działając na podstawie art. </w:t>
      </w:r>
      <w:r w:rsidR="0029606A" w:rsidRPr="005C693E">
        <w:t>1</w:t>
      </w:r>
      <w:r w:rsidRPr="005C693E">
        <w:t>3</w:t>
      </w:r>
      <w:r w:rsidR="0029606A" w:rsidRPr="005C693E">
        <w:t>5</w:t>
      </w:r>
      <w:r w:rsidRPr="005C693E">
        <w:t xml:space="preserve"> ust</w:t>
      </w:r>
      <w:r w:rsidR="00D9049C" w:rsidRPr="005C693E">
        <w:t xml:space="preserve">. </w:t>
      </w:r>
      <w:r w:rsidR="0029606A" w:rsidRPr="005C693E">
        <w:t>6</w:t>
      </w:r>
      <w:r w:rsidRPr="005C693E">
        <w:t xml:space="preserve"> ustawy z dnia </w:t>
      </w:r>
      <w:r w:rsidR="0029606A" w:rsidRPr="005C693E">
        <w:t>11</w:t>
      </w:r>
      <w:r w:rsidRPr="005C693E">
        <w:t xml:space="preserve"> </w:t>
      </w:r>
      <w:r w:rsidR="0029606A" w:rsidRPr="005C693E">
        <w:t xml:space="preserve">września </w:t>
      </w:r>
      <w:r w:rsidRPr="005C693E">
        <w:t>20</w:t>
      </w:r>
      <w:r w:rsidR="0029606A" w:rsidRPr="005C693E">
        <w:t>19</w:t>
      </w:r>
      <w:r w:rsidRPr="005C693E">
        <w:t xml:space="preserve"> r</w:t>
      </w:r>
      <w:r w:rsidR="0029606A" w:rsidRPr="005C693E">
        <w:t>.</w:t>
      </w:r>
      <w:r w:rsidRPr="005C693E">
        <w:t xml:space="preserve"> Prawo </w:t>
      </w:r>
      <w:r w:rsidR="0029606A" w:rsidRPr="005C693E">
        <w:t>z</w:t>
      </w:r>
      <w:r w:rsidRPr="005C693E">
        <w:t xml:space="preserve">amówień </w:t>
      </w:r>
      <w:r w:rsidR="0029606A" w:rsidRPr="005C693E">
        <w:t>p</w:t>
      </w:r>
      <w:r w:rsidRPr="005C693E">
        <w:t xml:space="preserve">ublicznych </w:t>
      </w:r>
      <w:r w:rsidR="006F1AB1" w:rsidRPr="005C693E">
        <w:t>(</w:t>
      </w:r>
      <w:proofErr w:type="spellStart"/>
      <w:r w:rsidR="006F1AB1" w:rsidRPr="005C693E">
        <w:t>t.j</w:t>
      </w:r>
      <w:proofErr w:type="spellEnd"/>
      <w:r w:rsidR="006F1AB1" w:rsidRPr="005C693E">
        <w:t>. Dz.U. z 2021r. poz. 1129)</w:t>
      </w:r>
      <w:r w:rsidR="00BE7BFD" w:rsidRPr="005C693E">
        <w:t xml:space="preserve">, </w:t>
      </w:r>
      <w:r w:rsidR="00D9049C" w:rsidRPr="005C693E">
        <w:t>udostępnia</w:t>
      </w:r>
      <w:r w:rsidR="00BE7BFD" w:rsidRPr="005C693E">
        <w:t xml:space="preserve"> poniżej treść zapytań do S</w:t>
      </w:r>
      <w:r w:rsidR="0012774F" w:rsidRPr="005C693E">
        <w:t>pecyfikacji Warunków Zamówienia (</w:t>
      </w:r>
      <w:r w:rsidR="0012774F" w:rsidRPr="005C693E">
        <w:rPr>
          <w:lang w:eastAsia="ar-SA"/>
        </w:rPr>
        <w:t>zwanej dalej</w:t>
      </w:r>
      <w:r w:rsidR="0012774F" w:rsidRPr="005C693E">
        <w:rPr>
          <w:b/>
          <w:lang w:eastAsia="ar-SA"/>
        </w:rPr>
        <w:t xml:space="preserve"> </w:t>
      </w:r>
      <w:r w:rsidR="0012774F" w:rsidRPr="005C693E">
        <w:rPr>
          <w:bCs/>
          <w:lang w:eastAsia="ar-SA"/>
        </w:rPr>
        <w:t>”SWZ”)</w:t>
      </w:r>
      <w:r w:rsidR="00D9049C" w:rsidRPr="005C693E">
        <w:rPr>
          <w:bCs/>
          <w:lang w:eastAsia="ar-SA"/>
        </w:rPr>
        <w:t xml:space="preserve"> </w:t>
      </w:r>
      <w:r w:rsidR="00D9049C" w:rsidRPr="005C693E">
        <w:t>wraz z wyjaśnieniami</w:t>
      </w:r>
      <w:r w:rsidR="0012774F" w:rsidRPr="005C693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27"/>
      </w:tblGrid>
      <w:tr w:rsidR="006F1AB1" w:rsidRPr="005C693E" w:rsidTr="00516F43">
        <w:tc>
          <w:tcPr>
            <w:tcW w:w="9356" w:type="dxa"/>
            <w:shd w:val="clear" w:color="auto" w:fill="auto"/>
          </w:tcPr>
          <w:p w:rsidR="006F1AB1" w:rsidRPr="005C693E" w:rsidRDefault="006F1AB1" w:rsidP="005C693E">
            <w:pPr>
              <w:ind w:left="30" w:right="-72"/>
              <w:jc w:val="both"/>
              <w:rPr>
                <w:highlight w:val="darkGray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dotyczące komputerów biurowych typ 1 i typ 2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Zamawiający w specyfikacji technicznej komputerów biurowych typ 1 i typ wymaga zasilacza: Zasilacz o mocy max 180W z aktywnym PFC i sprawności min 92% dla 50% użycia 80 PLUS Gold Czy Zamawiający dopuści zasilacz: Zasilacz o mocy max 210W z aktywnym PFC i sprawności min 92% dla 50% użycia 80 PLUS Platinum. Zasilacz ma większą moc ale dzięki wyższemu certyfikatowi 80 Plus Platinum jest oszczędniejszy i wydajniejszy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zmienia zapisy pkt. 1.1.1 8, 1.1.2 8 dopuszczając rozwiązanie „Zasilacz o mocy max 210W z aktywnym PFC i sprawności min 92% dla 50% użycia 80 PLUS Gold”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dotyczące terminu realizacji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Czy Zamawiający dopuści jako maksymalny 60 dniowy termin realizacji zamówienia ? Obecna sytuacja w branży IT, dotychczasowe doświadczenie oraz zapowiadana kolejna fala COVID-19 wskazują że na znaczną część produktów czas oczekiwania przy zamówieniu przekracza 30-dniowy okres wymagany przez Zamawiającego. Czas dostawy określony jest jako maksymalny, zatem przy dostępności produktów czas realizacji byłby znacznie krótszy.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6F7A7F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nie wyraża zgody na zmianę terminów dostawy.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</w:t>
            </w:r>
            <w:proofErr w:type="spellStart"/>
            <w:r w:rsidRPr="005C693E">
              <w:rPr>
                <w:color w:val="6F7A7F"/>
              </w:rPr>
              <w:t>dotyczace</w:t>
            </w:r>
            <w:proofErr w:type="spellEnd"/>
            <w:r w:rsidRPr="005C693E">
              <w:rPr>
                <w:color w:val="6F7A7F"/>
              </w:rPr>
              <w:t xml:space="preserve"> drukarki 1.5.4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dotyczące 1.5.4 Specyfikacja drukarki laserowej kolorowej A4.Zamawiający w punkcie Podajniki papieru wymaga Standardowy podajnik na 250 arkuszy, automatyczny podajnik dokumentów (ADF) na 50 arkuszy. Proszę o dopuszczenie drukarki z podajnikiem uniwersalnym na min 100 arkuszy zamiast podajnika dokumentów ADF gdyż taki podajnik występuje tylko w urządzeniach wielofunkcyjnych a nie w drukarkach. Nie dopuszczenie takiego rozwiązania będzie skutkowało zaoferowaniem droższego urządzenia którym będzie urządzenie wielofunkcyjne, na które nie ma stawki VAT 0%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zmienia zapisy pkt. 1.5.4 „Podajnik papieru” na: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r w:rsidRPr="005C693E">
              <w:rPr>
                <w:color w:val="538135"/>
              </w:rPr>
              <w:t>„1 podajnik w formie zamkniętej kasety na minimum 250 arkuszy,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r w:rsidRPr="005C693E">
              <w:rPr>
                <w:color w:val="538135"/>
              </w:rPr>
              <w:t>1 podajnik wielofunkcyjny na minimum 100 arkuszy”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dotyczące urządzenia wielofunkcyjnego 1.5.5 oraz 1.5.6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dotyczy urządzenia wielofunkcyjnego 1.5.5 oraz 1.5.6 Czy Zamawiający nie popełnił tutaj błędu i nie powielił specyfikacji technicznej do tych urządzeń ? Parametry techniczne wskazują na te samo urządzenie tylko pierwsza specyfikacja jest mniej rozbudowana niż druga i podane są wymagania co do tonerów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koryguje oczywistą omyłkę, polegającą na niespójności pomiędzy Załącznikiem – Szczegółowy opis przedmiotu zamówienia, a Załącznikiem – tabela parametrów technicznych, poprzez zmianę tabeli 1.5.5 na: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538135"/>
              </w:rPr>
            </w:pPr>
            <w:r w:rsidRPr="005C693E">
              <w:rPr>
                <w:color w:val="538135"/>
              </w:rPr>
              <w:t>„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814"/>
              <w:gridCol w:w="2814"/>
              <w:gridCol w:w="3873"/>
            </w:tblGrid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pPr>
                    <w:rPr>
                      <w:b/>
                    </w:rPr>
                  </w:pPr>
                  <w:r w:rsidRPr="005C693E">
                    <w:rPr>
                      <w:b/>
                    </w:rPr>
                    <w:t>Parametr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pPr>
                    <w:rPr>
                      <w:b/>
                    </w:rPr>
                  </w:pPr>
                  <w:r w:rsidRPr="005C693E">
                    <w:rPr>
                      <w:b/>
                    </w:rPr>
                    <w:t>Wymagania minimalne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jc w:val="both"/>
                    <w:rPr>
                      <w:b/>
                    </w:rPr>
                  </w:pPr>
                  <w:r w:rsidRPr="005C693E">
                    <w:rPr>
                      <w:b/>
                    </w:rPr>
                    <w:t>Oferowane parametry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>---------------------------------------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>---------------------------------------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model, symbol oraz producent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Rodzaj urządzenia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wielofunkcyjne - druk/skan/kopia/fax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Technologia druku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Laserowa, rozdzielność bębna od tonera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Rodzaj druku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Kolorowy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XXXXXXXXXXXXXXXXXXXXXXXXXXX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lastRenderedPageBreak/>
                    <w:t xml:space="preserve">Rozdzielczość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1200x1200 </w:t>
                  </w:r>
                  <w:proofErr w:type="spellStart"/>
                  <w:r w:rsidRPr="005C693E">
                    <w:t>dpi</w:t>
                  </w:r>
                  <w:proofErr w:type="spellEnd"/>
                  <w:r w:rsidRPr="005C693E">
                    <w:t xml:space="preserve">, 9600 x 600 </w:t>
                  </w:r>
                  <w:proofErr w:type="spellStart"/>
                  <w:r w:rsidRPr="005C693E">
                    <w:t>dpi</w:t>
                  </w:r>
                  <w:proofErr w:type="spellEnd"/>
                  <w:r w:rsidRPr="005C693E">
                    <w:t xml:space="preserve">, 600 x 600 </w:t>
                  </w:r>
                  <w:proofErr w:type="spellStart"/>
                  <w:r w:rsidRPr="005C693E">
                    <w:t>dpi</w:t>
                  </w:r>
                  <w:proofErr w:type="spellEnd"/>
                  <w:r w:rsidRPr="005C693E"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Format wydruku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A4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 xml:space="preserve">XXXXXXXXXXXXXXXXXXXXXXXXXXX 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Prędkość druku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21 stron A4/minutę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Czas wydruku pierwszej strony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maks. 12 sekund ± 10% w kolorze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Miesięczne obciążenie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30 000 stron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Pamięć RAM zainstalowana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512 MB z możliwością rozszerzenia do min. 1536 MB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Emulacje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PCL 6, PCL 5, PostScript3 lub emulacja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Interfejsy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USB 2.0, Ethernet 10/100/1000BaseT, USB Host, Czytnik kart SD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Obsługiwane systemy operacyjne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Wszystkie bieżące wersje Microsoft Windows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Podajniki papieru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 podajnik w formie zamkniętej kasety na minimum 250 arkuszy A4 60-220 g/m2, </w:t>
                  </w:r>
                </w:p>
                <w:p w:rsidR="005C693E" w:rsidRPr="005C693E" w:rsidRDefault="005C693E" w:rsidP="005C693E">
                  <w:r w:rsidRPr="005C693E">
                    <w:t xml:space="preserve">1 podajnik automatyczny (ADF) na minimum 50 arkuszy A4 60-220 g/m2.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Gramatura papieru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60 – 220 g/m2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Odbiornik papieru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Na min. 150 arkuszy A4 60-220 g/m2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Wyświetlacz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LCD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Technologia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Rozdzielność bębna i tonera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Wydruk dwustronny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Automatyczny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Procesor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Min. 800 MHz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Materiały eksploatacyjne jako wyposażenie standardowe drukarki ( dostarczone w komplecie w ramach oferowanej ceny jednostkowej).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Toner startowy na min. 1100 wydruków czarnych zgodnie z normą ISO/IEC 19752 oraz tonery startowe na min. 1100 wydruków </w:t>
                  </w:r>
                  <w:proofErr w:type="spellStart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>cyan</w:t>
                  </w:r>
                  <w:proofErr w:type="spellEnd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magenta</w:t>
                  </w:r>
                  <w:proofErr w:type="spellEnd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 </w:t>
                  </w:r>
                  <w:proofErr w:type="spellStart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>yellow</w:t>
                  </w:r>
                  <w:proofErr w:type="spellEnd"/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Dodatkowo drukarka powinna obsługiwać tonery normalne o wydajności min. 2500 wydruków czarnych oraz min. 2100 wydruków kolorowych. </w:t>
                  </w:r>
                </w:p>
                <w:p w:rsidR="005C693E" w:rsidRPr="005C693E" w:rsidRDefault="005C693E" w:rsidP="005C693E">
                  <w:r w:rsidRPr="005C693E">
                    <w:t xml:space="preserve">Tonery i bębny muszą być nowe i nieużywane, pierwszej kategorii oraz wyprodukowane przez producenta oferowanych drukarek..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pPr>
                    <w:tabs>
                      <w:tab w:val="left" w:pos="1528"/>
                    </w:tabs>
                  </w:pPr>
                  <w:r w:rsidRPr="005C693E">
                    <w:t xml:space="preserve">Materiały eksploatacyjne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Tonery i bębny muszą być nowe i nieużywane, pierwszej kategorii oraz wyprodukowane przez producenta oferowanych drukarek.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XXXXXXXXXXXXXXXXXXXXXXXXXXX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rPr>
                      <w:b/>
                      <w:bCs/>
                    </w:rPr>
                    <w:t xml:space="preserve">Gwarancja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rPr>
                      <w:b/>
                      <w:bCs/>
                    </w:rPr>
                    <w:t xml:space="preserve">24 miesiące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Gwarancja ……………………………….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Koszt. wydruku 1 str. w czerni z uwzględnieniem zużycia wszystkich materiałów eksploatacyjnych (bez papieru) nie może przekroczyć.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Max 10 gr netto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lastRenderedPageBreak/>
                    <w:t xml:space="preserve">Koszt. wydruku 1 str. w kolorze z uwzględnieniem zużycia wszystkich materiałów eksploatacyjnych (bez papieru) nie może przekroczyć.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Max 60 gr netto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…………………………………………….……….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Serwis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Firma serwisująca musi posiadać ISO 9001:2008 na świadczenie usług serwisowych oraz posiadać autoryzacje producenta drukarki – dokumenty potwierdzające spełnienie warunku załączyć do oferty. Podać pełną nazwę i dane firmy, która zajmie się serwisem.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pPr>
                    <w:rPr>
                      <w:bCs/>
                      <w:i/>
                    </w:rPr>
                  </w:pPr>
                  <w:r w:rsidRPr="005C693E">
                    <w:rPr>
                      <w:bCs/>
                      <w:i/>
                    </w:rPr>
                    <w:t>XXXXXXXXXXXXXXXXXXXXXXXXXXX</w:t>
                  </w:r>
                </w:p>
              </w:tc>
            </w:tr>
            <w:tr w:rsidR="005C693E" w:rsidRPr="005C693E" w:rsidTr="005C693E">
              <w:trPr>
                <w:cantSplit/>
              </w:trPr>
              <w:tc>
                <w:tcPr>
                  <w:tcW w:w="0" w:type="auto"/>
                </w:tcPr>
                <w:p w:rsidR="005C693E" w:rsidRPr="005C693E" w:rsidRDefault="005C693E" w:rsidP="005C693E">
                  <w:r w:rsidRPr="005C693E">
                    <w:t xml:space="preserve">Certyfikaty lub oświadczenia dołączone do specyfikacji zaoferowanej drukarki </w:t>
                  </w:r>
                </w:p>
              </w:tc>
              <w:tc>
                <w:tcPr>
                  <w:tcW w:w="0" w:type="auto"/>
                </w:tcPr>
                <w:p w:rsidR="005C693E" w:rsidRPr="005C693E" w:rsidRDefault="005C693E" w:rsidP="005C693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C693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Oświadczenie o posiadaniu lub kopia certyfikat ISO 140001:2004 producenta oferowanego sprzętu ; </w:t>
                  </w:r>
                </w:p>
                <w:p w:rsidR="005C693E" w:rsidRPr="005C693E" w:rsidRDefault="005C693E" w:rsidP="005C693E">
                  <w:r w:rsidRPr="005C693E">
                    <w:t xml:space="preserve">Oświadczenie o posiadaniu lub kopia certyfikat ISO 9001:2008 producenta oferowanego sprzętu </w:t>
                  </w:r>
                </w:p>
              </w:tc>
              <w:tc>
                <w:tcPr>
                  <w:tcW w:w="0" w:type="auto"/>
                  <w:vAlign w:val="center"/>
                </w:tcPr>
                <w:p w:rsidR="005C693E" w:rsidRPr="005C693E" w:rsidRDefault="005C693E" w:rsidP="005C693E">
                  <w:r w:rsidRPr="005C693E">
                    <w:rPr>
                      <w:bCs/>
                      <w:i/>
                    </w:rPr>
                    <w:t>XXXXXXXXXXXXXXXXXXXXXXXXXXX</w:t>
                  </w:r>
                </w:p>
              </w:tc>
            </w:tr>
          </w:tbl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538135"/>
              </w:rPr>
            </w:pPr>
            <w:r w:rsidRPr="005C693E">
              <w:rPr>
                <w:color w:val="538135"/>
              </w:rPr>
              <w:t>„</w:t>
            </w: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538135"/>
              </w:rPr>
            </w:pPr>
          </w:p>
          <w:p w:rsidR="005C693E" w:rsidRPr="005C693E" w:rsidRDefault="005C693E" w:rsidP="005C693E">
            <w:pPr>
              <w:pBdr>
                <w:bottom w:val="single" w:sz="6" w:space="1" w:color="auto"/>
              </w:pBd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Pytania dotyczące laptopów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Pytania 1 Dotyczy Notebooka 15” Typ 1 i Typ 2 oraz Notebook 13” i 14” Zamawiający wymaga w punkcie nr 16 Wymagania dodatkowe – czytnika kart multimedialnych SD/SDHC/SDXC. Czy Zamawiający dopuści czytnik kart </w:t>
            </w:r>
            <w:proofErr w:type="spellStart"/>
            <w:r w:rsidRPr="005C693E">
              <w:rPr>
                <w:color w:val="6F7A7F"/>
              </w:rPr>
              <w:t>microSD</w:t>
            </w:r>
            <w:proofErr w:type="spellEnd"/>
            <w:r w:rsidRPr="005C693E">
              <w:rPr>
                <w:color w:val="6F7A7F"/>
              </w:rPr>
              <w:t xml:space="preserve"> ze wsparciem dla SD/SDHC/SDXC – jest to w tej chwili najbardziej popularny rodzaj kart pamięci stosowanych na rynku a Producenci rezygnują już z dużych czytników by zmniejszyć gabaryty i rozmiary laptopów.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dopuści takie rozwiązanie.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Dotyczy Notebooka 14” Zamawiający wymaga w punkcie 16 Wymagania dodatkowe Wbudowane porty i złącza: 1 x HDMI 1.4b, 3 szt. USB typ-A 3.2 Gen 1 w tym 1 szt. z ładowaniem zewnętrznych urządzeń, 1 szt. USB 3.2 Gen 2 typu-C, 1 x złącze słuchawkowe stereo/liniowe wyjście + złącze mikrofonowe (COMBO audio), czytnik kart multimedialnych SD/SDHC/SDXC, Karta sieciowa LAN 10/100/1000 Ethernet RJ 45 zintegrowana z płytą główną oraz WLAN 802.11 </w:t>
            </w:r>
            <w:proofErr w:type="spellStart"/>
            <w:r w:rsidRPr="005C693E">
              <w:rPr>
                <w:color w:val="6F7A7F"/>
              </w:rPr>
              <w:t>ac</w:t>
            </w:r>
            <w:proofErr w:type="spellEnd"/>
            <w:r w:rsidRPr="005C693E">
              <w:rPr>
                <w:color w:val="6F7A7F"/>
              </w:rPr>
              <w:t xml:space="preserve"> wraz z Bluetooth 5.0. Czy Zamawiający dopuści laptopy ze złączami: Wbudowane porty i złącza: 1 x HDMI 1.4b, 2 szt. USB 3.1, 1 </w:t>
            </w:r>
            <w:proofErr w:type="spellStart"/>
            <w:r w:rsidRPr="005C693E">
              <w:rPr>
                <w:color w:val="6F7A7F"/>
              </w:rPr>
              <w:t>szt</w:t>
            </w:r>
            <w:proofErr w:type="spellEnd"/>
            <w:r w:rsidRPr="005C693E">
              <w:rPr>
                <w:color w:val="6F7A7F"/>
              </w:rPr>
              <w:t xml:space="preserve"> USB 3.1 gen. 2 Typ-C z ładowaniem zewnętrznych, 1 x złącze słuchawkowe stereo/liniowe wyjście + złącze mikrofonowe (COMBO audio), czytnik kart multimedialnych micro SD ze wsparciem dla SD/SDHC/SDXC oraz z Kartą sieciową na USB 3.0 1GB? Producenci ze względu na zmniejszenie wagi i rozmiarów laptopów zmniejszają ilość złączy w laptopa a karty sieciowe na kabel internetowy są już prawie nie stosowane gdyż wszędzie występuje sieć </w:t>
            </w:r>
            <w:proofErr w:type="spellStart"/>
            <w:r w:rsidRPr="005C693E">
              <w:rPr>
                <w:color w:val="6F7A7F"/>
              </w:rPr>
              <w:t>WI-Fi</w:t>
            </w:r>
            <w:proofErr w:type="spellEnd"/>
            <w:r w:rsidRPr="005C693E">
              <w:rPr>
                <w:color w:val="6F7A7F"/>
              </w:rPr>
              <w:t xml:space="preserve"> 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dopuści takie rozwiązanie.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Dotyczy Notebooka 13” Zamawiający wymaga w punkcie 16 Wymagania dodatkowe Wbudowane porty i złącza: 1 x HDMI 1.4b, 2 szt. USB 3.1, 1 szt. USB 3.1 Typ-C z ładowaniem komputera i wsparciem dla </w:t>
            </w:r>
            <w:proofErr w:type="spellStart"/>
            <w:r w:rsidRPr="005C693E">
              <w:rPr>
                <w:color w:val="6F7A7F"/>
              </w:rPr>
              <w:t>DisplayPort</w:t>
            </w:r>
            <w:proofErr w:type="spellEnd"/>
            <w:r w:rsidRPr="005C693E">
              <w:rPr>
                <w:color w:val="6F7A7F"/>
              </w:rPr>
              <w:t xml:space="preserve">, RJ-45, 1 x złącze słuchawkowe stereo/liniowe wyjście + złącze mikrofonowe (COMBO audio), czytnik kart multimedialnych SD/SDHC/SDXC, Karta sieciowa LAN 10/100/1000 Ethernet RJ 45 zintegrowana z płytą główną oraz WLAN 802.11 </w:t>
            </w:r>
            <w:proofErr w:type="spellStart"/>
            <w:r w:rsidRPr="005C693E">
              <w:rPr>
                <w:color w:val="6F7A7F"/>
              </w:rPr>
              <w:t>ac</w:t>
            </w:r>
            <w:proofErr w:type="spellEnd"/>
            <w:r w:rsidRPr="005C693E">
              <w:rPr>
                <w:color w:val="6F7A7F"/>
              </w:rPr>
              <w:t xml:space="preserve"> wraz z Bluetooth 5.0 Czy Zamawiający dopuści laptopy z Kartą sieciową na USB 3.0 1GB? Producenci ze względu na zmniejszenie wagi i rozmiarów laptopów zmniejszają ilość złączy w laptopa a karty sieciowe na kabel internetowy są już prawie nie stosowane gdyż wszędzie występuje sieć </w:t>
            </w:r>
            <w:proofErr w:type="spellStart"/>
            <w:r w:rsidRPr="005C693E">
              <w:rPr>
                <w:color w:val="6F7A7F"/>
              </w:rPr>
              <w:t>WI-Fi</w:t>
            </w:r>
            <w:proofErr w:type="spellEnd"/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dopuści takie rozwiązanie.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Dotyczy Notebooka 17” Typ 1 i Typ 2 Zamawiający wymaga w punkcie 16 Wymagania dodatkowe Wbudowane porty i złącza: 1 x HDMI 1.4, 2 szt. USB 3.2 Gen 1, 1 szt. USB typ-C 3.2. Gen 1, 1 x złącze słuchawkowe stereo/liniowe wyjście + złącze mikrofonowe (COMBO audio), czytnik kart multimedialnych SD/SDHC/SDXC, Karta sieciowa LAN 10/100/1000 Ethernet RJ 45 zintegrowana z płytą główną oraz WLAN 802.11 </w:t>
            </w:r>
            <w:proofErr w:type="spellStart"/>
            <w:r w:rsidRPr="005C693E">
              <w:rPr>
                <w:color w:val="6F7A7F"/>
              </w:rPr>
              <w:t>ac</w:t>
            </w:r>
            <w:proofErr w:type="spellEnd"/>
            <w:r w:rsidRPr="005C693E">
              <w:rPr>
                <w:color w:val="6F7A7F"/>
              </w:rPr>
              <w:t xml:space="preserve"> 2x2 wraz z Bluetooth 5.0 Czy Zamawiający dopuści laptopy z Kartą sieciową na USB 3.0 1GB? Producenci ze względu na zmniejszenie wagi i rozmiarów laptopów zmniejszają ilość złączy w laptopa a karty sieciowe na kabel </w:t>
            </w:r>
            <w:r w:rsidRPr="005C693E">
              <w:rPr>
                <w:color w:val="6F7A7F"/>
              </w:rPr>
              <w:lastRenderedPageBreak/>
              <w:t xml:space="preserve">internetowy są już prawie nie stosowane gdyż wszędzie występuje sieć </w:t>
            </w:r>
            <w:proofErr w:type="spellStart"/>
            <w:r w:rsidRPr="005C693E">
              <w:rPr>
                <w:color w:val="6F7A7F"/>
              </w:rPr>
              <w:t>WI-Fi</w:t>
            </w:r>
            <w:proofErr w:type="spellEnd"/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dopuści takie rozwiązanie.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</w:t>
            </w:r>
            <w:proofErr w:type="spellStart"/>
            <w:r w:rsidRPr="005C693E">
              <w:rPr>
                <w:color w:val="6F7A7F"/>
              </w:rPr>
              <w:t>Pytanie</w:t>
            </w:r>
            <w:proofErr w:type="spellEnd"/>
            <w:r w:rsidRPr="005C693E">
              <w:rPr>
                <w:color w:val="6F7A7F"/>
              </w:rPr>
              <w:t xml:space="preserve"> dotyczące komputer biurowy typ 1 i typ 2 Zamawiający wymaga w punkcie 12 - Zarządzenie - Wbudowana w płytę główną technologia umożliwiająca zdalną aktualizację ustawień BIOS bez potrzeby uruchamiania systemu operacyjnego z dysku twardego komputera lub innych, podłączonych do niego urządzeń zewnętrznych. Co wskazuje na procesor z </w:t>
            </w:r>
            <w:proofErr w:type="spellStart"/>
            <w:r w:rsidRPr="005C693E">
              <w:rPr>
                <w:color w:val="6F7A7F"/>
              </w:rPr>
              <w:t>vPRO</w:t>
            </w:r>
            <w:proofErr w:type="spellEnd"/>
            <w:r w:rsidRPr="005C693E">
              <w:rPr>
                <w:color w:val="6F7A7F"/>
              </w:rPr>
              <w:t xml:space="preserve"> natomiast punktacja dopuszcza słabszy procesor. Proszę o wyjaśnienie czy Zamawiający wymaga Procesorów z </w:t>
            </w:r>
            <w:proofErr w:type="spellStart"/>
            <w:r w:rsidRPr="005C693E">
              <w:rPr>
                <w:color w:val="6F7A7F"/>
              </w:rPr>
              <w:t>vPRO</w:t>
            </w:r>
            <w:proofErr w:type="spellEnd"/>
            <w:r w:rsidRPr="005C693E">
              <w:rPr>
                <w:color w:val="6F7A7F"/>
              </w:rPr>
              <w:t xml:space="preserve"> czy bez </w:t>
            </w:r>
            <w:proofErr w:type="spellStart"/>
            <w:r w:rsidRPr="005C693E">
              <w:rPr>
                <w:color w:val="6F7A7F"/>
              </w:rPr>
              <w:t>vPRO</w:t>
            </w:r>
            <w:proofErr w:type="spellEnd"/>
          </w:p>
          <w:p w:rsidR="005C693E" w:rsidRPr="005C693E" w:rsidRDefault="005C693E" w:rsidP="005C693E">
            <w:pPr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 nie sugeruje konkretnego rozwiązania technicznego, jednak ze względu na chęć rozszerzenia potencjalnego kręgu wykonawców zmienia zapisy pkt. 1.1.1 10 oraz 1.1.2 10 i wykreśla wymaganie „</w:t>
            </w:r>
            <w:r w:rsidRPr="005C693E">
              <w:rPr>
                <w:i/>
                <w:iCs/>
                <w:color w:val="538135"/>
              </w:rPr>
              <w:t>BIOS musi posiadać funkcję update BIOS przez sieć włączaną na poziomie BIOS przez użytkownika bez potrzeby uruchamiania systemu operacyjnego z dysku twardego komputera lub innych, podłączonych do niego, urządzeń zewnętrznych.</w:t>
            </w:r>
            <w:r w:rsidRPr="005C693E">
              <w:rPr>
                <w:color w:val="538135"/>
              </w:rPr>
              <w:t>”.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Zamawiający w przypadku komputerów biurowych typ 1 i typ 2 w punkcie 6 – grafika wymaga: Zintegrowana z płytą główną, ze wsparciem dla DirectX 12.1, </w:t>
            </w:r>
            <w:proofErr w:type="spellStart"/>
            <w:r w:rsidRPr="005C693E">
              <w:rPr>
                <w:color w:val="6F7A7F"/>
              </w:rPr>
              <w:t>OpenGL</w:t>
            </w:r>
            <w:proofErr w:type="spellEnd"/>
            <w:r w:rsidRPr="005C693E">
              <w:rPr>
                <w:color w:val="6F7A7F"/>
              </w:rPr>
              <w:t xml:space="preserve"> 4.5, Open CL 1.2 oraz dla rozdzielczości 3840x2160@60Hz osiągająca w teście </w:t>
            </w:r>
            <w:proofErr w:type="spellStart"/>
            <w:r w:rsidRPr="005C693E">
              <w:rPr>
                <w:color w:val="6F7A7F"/>
              </w:rPr>
              <w:t>Average</w:t>
            </w:r>
            <w:proofErr w:type="spellEnd"/>
            <w:r w:rsidRPr="005C693E">
              <w:rPr>
                <w:color w:val="6F7A7F"/>
              </w:rPr>
              <w:t xml:space="preserve"> G3D Mark wynik na poziomie 1500 punktów ± 2%. Czy Zamawiający dopuści kartę graficzną Zintegrowana z płytą główną, ze wsparciem dla DirectX 12.1, </w:t>
            </w:r>
            <w:proofErr w:type="spellStart"/>
            <w:r w:rsidRPr="005C693E">
              <w:rPr>
                <w:color w:val="6F7A7F"/>
              </w:rPr>
              <w:t>OpenGL</w:t>
            </w:r>
            <w:proofErr w:type="spellEnd"/>
            <w:r w:rsidRPr="005C693E">
              <w:rPr>
                <w:color w:val="6F7A7F"/>
              </w:rPr>
              <w:t xml:space="preserve"> 4.5, Open CL 1.2 oraz dla rozdzielczości 3840x2160@60Hz osiągająca w teście </w:t>
            </w:r>
            <w:proofErr w:type="spellStart"/>
            <w:r w:rsidRPr="005C693E">
              <w:rPr>
                <w:color w:val="6F7A7F"/>
              </w:rPr>
              <w:t>Average</w:t>
            </w:r>
            <w:proofErr w:type="spellEnd"/>
            <w:r w:rsidRPr="005C693E">
              <w:rPr>
                <w:color w:val="6F7A7F"/>
              </w:rPr>
              <w:t xml:space="preserve"> G3D Mark wynik na poziomie 1400 punktów ± 2%. Punktacja kart w graficznych uległa znaczącej zmianie i w tym momencie nie będzie sprzętu spełniającego wymagania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zmienia zapisy pkt. 1.1.1 6 i 1.1.2 6 na: „</w:t>
            </w:r>
            <w:r w:rsidRPr="005C693E">
              <w:rPr>
                <w:i/>
                <w:iCs/>
                <w:color w:val="538135"/>
              </w:rPr>
              <w:t xml:space="preserve">Zintegrowana z płytą główną, ze wsparciem dla DirectX 12.1, </w:t>
            </w:r>
            <w:proofErr w:type="spellStart"/>
            <w:r w:rsidRPr="005C693E">
              <w:rPr>
                <w:i/>
                <w:iCs/>
                <w:color w:val="538135"/>
              </w:rPr>
              <w:t>OpenGL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4.5, Open CL 1.2 oraz dla rozdzielczości 3840x2160@60Hz osiągająca w teście </w:t>
            </w:r>
            <w:proofErr w:type="spellStart"/>
            <w:r w:rsidRPr="005C693E">
              <w:rPr>
                <w:i/>
                <w:iCs/>
                <w:color w:val="538135"/>
              </w:rPr>
              <w:t>Average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G3D Mark wynik na poziomie </w:t>
            </w:r>
            <w:r w:rsidRPr="005C693E">
              <w:rPr>
                <w:b/>
                <w:bCs/>
                <w:i/>
                <w:iCs/>
                <w:color w:val="538135"/>
              </w:rPr>
              <w:t>1500 punktów ± 7%</w:t>
            </w:r>
            <w:r w:rsidRPr="005C693E">
              <w:rPr>
                <w:i/>
                <w:iCs/>
                <w:color w:val="538135"/>
              </w:rPr>
              <w:t>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Do oferty należy dołączyć wydruk ze strony: http://www.videocardbenchmark.net potwierdzający spełnienie wymogów SIWZ. Wynik nie starszy niż na dzień ogłoszenia postepowania.</w:t>
            </w:r>
            <w:r w:rsidRPr="005C693E">
              <w:rPr>
                <w:color w:val="538135"/>
              </w:rPr>
              <w:t>”.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Dotyczy Notebook 13” Zamawiający w punkcie 6 – karta graficzna wymaga: Zintegrowana w procesorze z możliwością dynamicznego przydzielenia pamięci systemowej, ze sprzętowym wsparciem dla DirectX 12.1, </w:t>
            </w:r>
            <w:proofErr w:type="spellStart"/>
            <w:r w:rsidRPr="005C693E">
              <w:rPr>
                <w:color w:val="6F7A7F"/>
              </w:rPr>
              <w:t>OpenGL</w:t>
            </w:r>
            <w:proofErr w:type="spellEnd"/>
            <w:r w:rsidRPr="005C693E">
              <w:rPr>
                <w:color w:val="6F7A7F"/>
              </w:rPr>
              <w:t xml:space="preserve"> 4.6, osiągająca w teście </w:t>
            </w:r>
            <w:proofErr w:type="spellStart"/>
            <w:r w:rsidRPr="005C693E">
              <w:rPr>
                <w:color w:val="6F7A7F"/>
              </w:rPr>
              <w:t>Average</w:t>
            </w:r>
            <w:proofErr w:type="spellEnd"/>
            <w:r w:rsidRPr="005C693E">
              <w:rPr>
                <w:color w:val="6F7A7F"/>
              </w:rPr>
              <w:t xml:space="preserve"> G3D Mark wynik na poziomie min.: 3000 punktów ± 2% (wynik zaproponowanej grafiki musi znajdować się na stronie </w:t>
            </w:r>
            <w:hyperlink r:id="rId7" w:history="1">
              <w:r w:rsidRPr="005C693E">
                <w:rPr>
                  <w:rStyle w:val="Hipercze"/>
                </w:rPr>
                <w:t>http://www.videocardbenchmark.net</w:t>
              </w:r>
            </w:hyperlink>
            <w:r w:rsidRPr="005C693E">
              <w:rPr>
                <w:color w:val="6F7A7F"/>
              </w:rPr>
              <w:t xml:space="preserve">) – wydruk ze strony należy dołączyć do oferty. Wynik nie starszy niż na dzień ogłoszenia postepowania. Czy Zamawiający dopuści kartę graficzną o parametrach: Zintegrowana w procesorze z możliwością dynamicznego przydzielenia pamięci systemowej, ze sprzętowym wsparciem dla DirectX 12.1, </w:t>
            </w:r>
            <w:proofErr w:type="spellStart"/>
            <w:r w:rsidRPr="005C693E">
              <w:rPr>
                <w:color w:val="6F7A7F"/>
              </w:rPr>
              <w:t>OpenGL</w:t>
            </w:r>
            <w:proofErr w:type="spellEnd"/>
            <w:r w:rsidRPr="005C693E">
              <w:rPr>
                <w:color w:val="6F7A7F"/>
              </w:rPr>
              <w:t xml:space="preserve"> 4.6, osiągająca w teście </w:t>
            </w:r>
            <w:proofErr w:type="spellStart"/>
            <w:r w:rsidRPr="005C693E">
              <w:rPr>
                <w:color w:val="6F7A7F"/>
              </w:rPr>
              <w:t>Average</w:t>
            </w:r>
            <w:proofErr w:type="spellEnd"/>
            <w:r w:rsidRPr="005C693E">
              <w:rPr>
                <w:color w:val="6F7A7F"/>
              </w:rPr>
              <w:t xml:space="preserve"> G3D Mark wynik na poziomie min.: 2900 punktów ± 2% (wynik zaproponowanej grafiki musi znajdować się na stronie </w:t>
            </w:r>
            <w:hyperlink r:id="rId8" w:history="1">
              <w:r w:rsidRPr="005C693E">
                <w:rPr>
                  <w:rStyle w:val="Hipercze"/>
                </w:rPr>
                <w:t>http://www.videocardbenchmark.net</w:t>
              </w:r>
            </w:hyperlink>
            <w:r w:rsidRPr="005C693E">
              <w:rPr>
                <w:color w:val="6F7A7F"/>
              </w:rPr>
              <w:t>) – wydruk ze strony należy dołączyć do oferty. Wynik nie starszy niż na dzień ogłoszenia postepowania. Punktacja kart w graficznych uległa znaczącej zmianie i w tym momencie nie będzie sprzętu spełniającego wymagania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bookmarkStart w:id="1" w:name="_Hlk81461681"/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 xml:space="preserve">: Zamawiający, chcąc rozszerzyć potencjalny kręg wykonawców, zmienia zapisy pkt. 1.4.1 6 na: </w:t>
            </w:r>
            <w:bookmarkEnd w:id="1"/>
            <w:r w:rsidRPr="005C693E">
              <w:rPr>
                <w:color w:val="538135"/>
              </w:rPr>
              <w:t>„</w:t>
            </w:r>
            <w:r w:rsidRPr="005C693E">
              <w:rPr>
                <w:i/>
                <w:iCs/>
                <w:color w:val="538135"/>
              </w:rPr>
              <w:t xml:space="preserve">Zintegrowana w procesorze z możliwością dynamicznego przydzielenia pamięci systemowej, ze sprzętowym wsparciem dla DirectX 12.1, </w:t>
            </w:r>
            <w:proofErr w:type="spellStart"/>
            <w:r w:rsidRPr="005C693E">
              <w:rPr>
                <w:i/>
                <w:iCs/>
                <w:color w:val="538135"/>
              </w:rPr>
              <w:t>OpenGL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4.6, osiągająca w teście </w:t>
            </w:r>
            <w:proofErr w:type="spellStart"/>
            <w:r w:rsidRPr="005C693E">
              <w:rPr>
                <w:i/>
                <w:iCs/>
                <w:color w:val="538135"/>
              </w:rPr>
              <w:t>Average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G3D Mark wynik na poziomie min.: </w:t>
            </w:r>
            <w:r w:rsidRPr="005C693E">
              <w:rPr>
                <w:b/>
                <w:bCs/>
                <w:i/>
                <w:iCs/>
                <w:color w:val="538135"/>
              </w:rPr>
              <w:t>3000 punktów ± 5%</w:t>
            </w:r>
            <w:r w:rsidRPr="005C693E">
              <w:rPr>
                <w:i/>
                <w:iCs/>
                <w:color w:val="538135"/>
              </w:rPr>
              <w:t xml:space="preserve"> (wynik zaproponowanej grafiki musi znajdować się na stronie http://www.videocardbenchmark.net) – wydruk ze strony należy dołączyć do oferty. Wynik nie starszy niż na dzień ogłoszenia postepowania.</w:t>
            </w:r>
            <w:r w:rsidRPr="005C693E">
              <w:rPr>
                <w:color w:val="538135"/>
              </w:rPr>
              <w:t>”.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</w:t>
            </w:r>
            <w:proofErr w:type="spellStart"/>
            <w:r w:rsidRPr="005C693E">
              <w:rPr>
                <w:color w:val="6F7A7F"/>
              </w:rPr>
              <w:t>Pytanie</w:t>
            </w:r>
            <w:proofErr w:type="spellEnd"/>
            <w:r w:rsidRPr="005C693E">
              <w:rPr>
                <w:color w:val="6F7A7F"/>
              </w:rPr>
              <w:t xml:space="preserve"> dotyczy notebooka 14” Zamawiający w punkcie nr 5 - Parametry pamięci masowej wymaga : Możliwość instalacji dodatkowego dysku 2,5” Czy Zamawiający zrezygnuje z tego parametru gdyż Producenci laptopów w przypadku 13 i 14” zrezygnowali już z takiego rozwiązania gdyż montują dyski </w:t>
            </w:r>
            <w:proofErr w:type="spellStart"/>
            <w:r w:rsidRPr="005C693E">
              <w:rPr>
                <w:color w:val="6F7A7F"/>
              </w:rPr>
              <w:t>nvme</w:t>
            </w:r>
            <w:proofErr w:type="spellEnd"/>
            <w:r w:rsidRPr="005C693E">
              <w:rPr>
                <w:color w:val="6F7A7F"/>
              </w:rPr>
              <w:t xml:space="preserve"> które są lżejsze i mniejsze a współczesne laptopy są pod tym względem coraz cieńsze i lżejsze.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rezygnuje z wymagania i zmienia zapis pkt. 1.4.2 5 na: „</w:t>
            </w:r>
            <w:r w:rsidRPr="005C693E">
              <w:rPr>
                <w:i/>
                <w:iCs/>
                <w:color w:val="538135"/>
              </w:rPr>
              <w:t>Minimalna wymagana przestrzeń dyskowa: 500 GB zrealizowana na pamięciach półprzewodnikowych (PCI-Express).”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</w:t>
            </w:r>
            <w:r>
              <w:rPr>
                <w:color w:val="6F7A7F"/>
              </w:rPr>
              <w:t>Dot</w:t>
            </w:r>
            <w:r w:rsidRPr="005C693E">
              <w:rPr>
                <w:color w:val="6F7A7F"/>
              </w:rPr>
              <w:t xml:space="preserve">yczy Notebooka 17” Typ 1 i Typ 2 Zamawiający wymaga w punkcie nr 10 – certyfikaty - Certyfikat TCO </w:t>
            </w:r>
            <w:proofErr w:type="spellStart"/>
            <w:r w:rsidRPr="005C693E">
              <w:rPr>
                <w:color w:val="6F7A7F"/>
              </w:rPr>
              <w:t>Certified</w:t>
            </w:r>
            <w:proofErr w:type="spellEnd"/>
            <w:r w:rsidRPr="005C693E">
              <w:rPr>
                <w:color w:val="6F7A7F"/>
              </w:rPr>
              <w:t xml:space="preserve"> </w:t>
            </w:r>
            <w:proofErr w:type="spellStart"/>
            <w:r w:rsidRPr="005C693E">
              <w:rPr>
                <w:color w:val="6F7A7F"/>
              </w:rPr>
              <w:t>Notebooks</w:t>
            </w:r>
            <w:proofErr w:type="spellEnd"/>
            <w:r w:rsidRPr="005C693E">
              <w:rPr>
                <w:color w:val="6F7A7F"/>
              </w:rPr>
              <w:t xml:space="preserve"> - komputer musi znajdować się na liście zgodności dostępnej na stronie </w:t>
            </w:r>
            <w:hyperlink r:id="rId9" w:history="1">
              <w:r w:rsidRPr="005C693E">
                <w:rPr>
                  <w:rStyle w:val="Hipercze"/>
                </w:rPr>
                <w:t>https://tcocertified.com</w:t>
              </w:r>
            </w:hyperlink>
            <w:r w:rsidRPr="005C693E">
              <w:rPr>
                <w:color w:val="6F7A7F"/>
              </w:rPr>
              <w:t xml:space="preserve"> Czy Zamawiający może zrezygnować z tego certyfikatu w przypadku laptopa 17” gdyż kilku Producentów jest w trakcie przygotowań tego dokumentu dla nowych modeli laptopów, które są już na rynku ale Certyfikatu TCO jeszcze nie ma.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 xml:space="preserve">: Zamawiający chcąc rozszerzyć potencjalny kręg wykonawców rezygnuje z wymagania i zmienia zapis pkt. 1.4.5 10 i 1.4.6 10 na:” </w:t>
            </w:r>
            <w:r w:rsidRPr="005C693E">
              <w:rPr>
                <w:i/>
                <w:iCs/>
                <w:color w:val="538135"/>
              </w:rPr>
              <w:t>W celu potwierdzenia właściwości technicznych, do oferty należy dołączyć następujące certyfikaty lub oświadczenia potwierdzające parametry komputera: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Certyfikat ISO9001:2000 dla producenta sprzętu (należy załączyć do oferty)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lastRenderedPageBreak/>
              <w:t>Certyfikat ISO 14001 dla producenta sprzętu (należy załączyć do oferty)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Deklaracja zgodności CE (załączyć do oferty)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 xml:space="preserve">Potwierdzenie spełnienia kryteriów środowiskowych, w tym zgodności z dyrektywą </w:t>
            </w:r>
            <w:proofErr w:type="spellStart"/>
            <w:r w:rsidRPr="005C693E">
              <w:rPr>
                <w:i/>
                <w:iCs/>
                <w:color w:val="538135"/>
              </w:rPr>
              <w:t>RoHS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Unii Europejskiej o eliminacji substancji niebezpiecznych w postaci oświadczenia producenta jednostki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Wydruk ze strony WHCL Microsoft potwierdzający zgodność oferowanego komputera z oferowanym system operacyjnym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Certyfikat EPEAT na poziomie SILVER dla Polski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Wymagany wpis dotyczący oferowanej stacji dostępowej w internetowym katalogu http://www.epeat.net - dopuszcza się wydruk ze strony internetowej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 xml:space="preserve">Certyfikat </w:t>
            </w:r>
            <w:proofErr w:type="spellStart"/>
            <w:r w:rsidRPr="005C693E">
              <w:rPr>
                <w:i/>
                <w:iCs/>
                <w:color w:val="538135"/>
              </w:rPr>
              <w:t>EnergyStar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8.0 – komputer musi znajdować się na liście zgodności dostępnej na stronie www.energystar.gov”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Pytanie Dotyczy Notebooka 17” Typ 1 i Typ 2 Zamawiający wymaga w punkcie nr 16 - Wymagania dodatkowe - czytnik kart multimedialnych SD/SDHC/SDXC. Czy Zamawiający zrezygnuje z tego wymagania lub dopuści czytnik kart zewnętrzny na USB ? Producenci laptopów rezygnują już z czytników kart gdyż jest to coraz mniej popularna a na rynku występuje bardzo dużo rodzajów zewnętrznych czytników.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zmienia zapis pkt. 1.4.5 10 i 1.4.6 10 na: „</w:t>
            </w:r>
            <w:r w:rsidRPr="005C693E">
              <w:rPr>
                <w:i/>
                <w:iCs/>
                <w:color w:val="538135"/>
              </w:rPr>
              <w:t xml:space="preserve">Wbudowane porty i złącza: 1 x HDMI 1.4, 2 szt. USB 3.2 Gen 1, 1 szt. USB typ-C 3.2. Gen 1, 1 x złącze słuchawkowe stereo/liniowe wyjście + złącze mikrofonowe (COMBO audio), Karta sieciowa LAN 10/100/1000 Ethernet RJ 45 zintegrowana z płytą główną oraz WLAN 802.11 </w:t>
            </w:r>
            <w:proofErr w:type="spellStart"/>
            <w:r w:rsidRPr="005C693E">
              <w:rPr>
                <w:i/>
                <w:iCs/>
                <w:color w:val="538135"/>
              </w:rPr>
              <w:t>ac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2x2 wraz z Bluetooth 5.0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Czytnik kart multimedialnych SD/SDHC/SDXC (Zamawiający dopuszcza dostarczenie zewnętrznego czytnika kart),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 xml:space="preserve">Klawiatura podświetlana (układ US -QWERTY) wraz z wydzieloną z prawej strony klawiaturą numeryczną odporna na zalanie, 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proofErr w:type="spellStart"/>
            <w:r w:rsidRPr="005C693E">
              <w:rPr>
                <w:i/>
                <w:iCs/>
                <w:color w:val="538135"/>
              </w:rPr>
              <w:t>Clickpad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. 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Zintegrowany w obudowie notebooka czytnik linii papilarnych.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i/>
                <w:iCs/>
                <w:color w:val="538135"/>
              </w:rPr>
            </w:pPr>
            <w:r w:rsidRPr="005C693E">
              <w:rPr>
                <w:i/>
                <w:iCs/>
                <w:color w:val="538135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b/>
                <w:bCs/>
                <w:color w:val="538135"/>
              </w:rPr>
            </w:pPr>
            <w:r w:rsidRPr="005C693E">
              <w:rPr>
                <w:color w:val="538135"/>
              </w:rPr>
              <w:t xml:space="preserve">Torba dopasowana do rozmiaru notebooka, wykonana z odpornego poliestru, wyposażona w pasek do noszenia na ramieniu, dodatkową kieszeń z </w:t>
            </w:r>
            <w:proofErr w:type="spellStart"/>
            <w:r w:rsidRPr="005C693E">
              <w:rPr>
                <w:color w:val="538135"/>
              </w:rPr>
              <w:t>organizerem</w:t>
            </w:r>
            <w:proofErr w:type="spellEnd"/>
            <w:r w:rsidRPr="005C693E">
              <w:rPr>
                <w:color w:val="538135"/>
              </w:rPr>
              <w:t xml:space="preserve"> na akcesoria do notebooka oraz dodatkową kieszeń na dokumenty. Główna komora na notebooka wyłożona miękkim materiałem amortyzującym wstrząsy (ochrona przed drobnymi uszkodzeniami i/lub zarysowaniami). Główna komora na notebooka oraz kieszeń na dokumenty zamykane na zamek błyskawiczny. Torba do notebooka w kolorze ciemnym stonowanym.”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b/>
                <w:bCs/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b/>
                <w:bCs/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</w:t>
            </w:r>
            <w:proofErr w:type="spellStart"/>
            <w:r w:rsidRPr="005C693E">
              <w:rPr>
                <w:color w:val="6F7A7F"/>
              </w:rPr>
              <w:t>dotyczacę</w:t>
            </w:r>
            <w:proofErr w:type="spellEnd"/>
            <w:r w:rsidRPr="005C693E">
              <w:rPr>
                <w:color w:val="6F7A7F"/>
              </w:rPr>
              <w:t xml:space="preserve"> komputerów stacjonarnych, AIO oraz laptopów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>Czy Zamawiający dopuszcza modyfikację przez Wykonawcę konfiguracji komputerów stacjonarnych, AIO i laptopów czy konfiguracja wymagana przez Zamawiającego ma być konfiguracją fabryczną Producenta sprzętu ?</w:t>
            </w:r>
          </w:p>
          <w:p w:rsidR="005C693E" w:rsidRPr="005C693E" w:rsidRDefault="005C693E" w:rsidP="005C693E">
            <w:pPr>
              <w:rPr>
                <w:color w:val="538135"/>
              </w:rPr>
            </w:pPr>
            <w:r w:rsidRPr="005C693E">
              <w:rPr>
                <w:color w:val="538135"/>
              </w:rPr>
              <w:t>Odp. Zamawiający wyjaśnia, że wymaga dostarczenia sprzętu nowego, objętego gwarancją opisaną w pkt. 1.3.1 20.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dotyczące - 1.3.1 Komputer </w:t>
            </w:r>
            <w:proofErr w:type="spellStart"/>
            <w:r w:rsidRPr="005C693E">
              <w:rPr>
                <w:color w:val="6F7A7F"/>
              </w:rPr>
              <w:t>All</w:t>
            </w:r>
            <w:proofErr w:type="spellEnd"/>
            <w:r w:rsidRPr="005C693E">
              <w:rPr>
                <w:color w:val="6F7A7F"/>
              </w:rPr>
              <w:t>-in-One PC 23”</w:t>
            </w:r>
          </w:p>
          <w:p w:rsidR="005C693E" w:rsidRPr="005C693E" w:rsidRDefault="005C693E" w:rsidP="005C693E">
            <w:pPr>
              <w:shd w:val="clear" w:color="auto" w:fill="FFFFFF"/>
              <w:textAlignment w:val="baseline"/>
              <w:rPr>
                <w:color w:val="6F7A7F"/>
              </w:rPr>
            </w:pPr>
            <w:r w:rsidRPr="005C693E">
              <w:rPr>
                <w:color w:val="6F7A7F"/>
              </w:rPr>
              <w:t xml:space="preserve">Pytanie dotyczące - 1.3.1 Komputer </w:t>
            </w:r>
            <w:proofErr w:type="spellStart"/>
            <w:r w:rsidRPr="005C693E">
              <w:rPr>
                <w:color w:val="6F7A7F"/>
              </w:rPr>
              <w:t>All</w:t>
            </w:r>
            <w:proofErr w:type="spellEnd"/>
            <w:r w:rsidRPr="005C693E">
              <w:rPr>
                <w:color w:val="6F7A7F"/>
              </w:rPr>
              <w:t xml:space="preserve">-in-One PC 23” Zamawiający wymaga Minimalna wymagana przestrzeń dyskowa: 540GB M.2 </w:t>
            </w:r>
            <w:proofErr w:type="spellStart"/>
            <w:r w:rsidRPr="005C693E">
              <w:rPr>
                <w:color w:val="6F7A7F"/>
              </w:rPr>
              <w:t>PCIe</w:t>
            </w:r>
            <w:proofErr w:type="spellEnd"/>
            <w:r w:rsidRPr="005C693E">
              <w:rPr>
                <w:color w:val="6F7A7F"/>
              </w:rPr>
              <w:t xml:space="preserve"> </w:t>
            </w:r>
            <w:proofErr w:type="spellStart"/>
            <w:r w:rsidRPr="005C693E">
              <w:rPr>
                <w:color w:val="6F7A7F"/>
              </w:rPr>
              <w:t>NVMe</w:t>
            </w:r>
            <w:proofErr w:type="spellEnd"/>
            <w:r w:rsidRPr="005C693E">
              <w:rPr>
                <w:color w:val="6F7A7F"/>
              </w:rPr>
              <w:t xml:space="preserve"> czy Zamawiający dopuści komputery AIO z Minimalna wymagana przestrzeń dyskowa: 512GB M.2 </w:t>
            </w:r>
            <w:proofErr w:type="spellStart"/>
            <w:r w:rsidRPr="005C693E">
              <w:rPr>
                <w:color w:val="6F7A7F"/>
              </w:rPr>
              <w:t>PCIe</w:t>
            </w:r>
            <w:proofErr w:type="spellEnd"/>
            <w:r w:rsidRPr="005C693E">
              <w:rPr>
                <w:color w:val="6F7A7F"/>
              </w:rPr>
              <w:t xml:space="preserve"> </w:t>
            </w:r>
            <w:proofErr w:type="spellStart"/>
            <w:r w:rsidRPr="005C693E">
              <w:rPr>
                <w:color w:val="6F7A7F"/>
              </w:rPr>
              <w:t>NVMe</w:t>
            </w:r>
            <w:proofErr w:type="spellEnd"/>
            <w:r w:rsidRPr="005C693E">
              <w:rPr>
                <w:color w:val="6F7A7F"/>
              </w:rPr>
              <w:t>? Nie ma dysków 540GB są dopiero 1000GB co ma znaczny wpływ na cenę</w:t>
            </w:r>
          </w:p>
          <w:p w:rsidR="005C693E" w:rsidRPr="005C693E" w:rsidRDefault="005C693E" w:rsidP="005C693E">
            <w:pPr>
              <w:rPr>
                <w:color w:val="538135"/>
              </w:rPr>
            </w:pPr>
            <w:proofErr w:type="spellStart"/>
            <w:r w:rsidRPr="005C693E">
              <w:rPr>
                <w:color w:val="538135"/>
              </w:rPr>
              <w:t>Odp</w:t>
            </w:r>
            <w:proofErr w:type="spellEnd"/>
            <w:r w:rsidRPr="005C693E">
              <w:rPr>
                <w:color w:val="538135"/>
              </w:rPr>
              <w:t>: Zamawiający, chcąc rozszerzyć potencjalny kręg wykonawców, zmienia zapis pkt. 1.3.1 7 na: ”</w:t>
            </w:r>
            <w:r w:rsidRPr="005C693E">
              <w:rPr>
                <w:i/>
                <w:iCs/>
                <w:color w:val="538135"/>
              </w:rPr>
              <w:t xml:space="preserve">Minimalna wymagana przestrzeń dyskowa: </w:t>
            </w:r>
            <w:r w:rsidRPr="005C693E">
              <w:rPr>
                <w:b/>
                <w:bCs/>
                <w:i/>
                <w:iCs/>
                <w:color w:val="538135"/>
              </w:rPr>
              <w:t>540GB ± 10%</w:t>
            </w:r>
            <w:r w:rsidRPr="005C693E">
              <w:rPr>
                <w:i/>
                <w:iCs/>
                <w:color w:val="538135"/>
              </w:rPr>
              <w:t xml:space="preserve"> M.2 </w:t>
            </w:r>
            <w:proofErr w:type="spellStart"/>
            <w:r w:rsidRPr="005C693E">
              <w:rPr>
                <w:i/>
                <w:iCs/>
                <w:color w:val="538135"/>
              </w:rPr>
              <w:t>PCIe</w:t>
            </w:r>
            <w:proofErr w:type="spellEnd"/>
            <w:r w:rsidRPr="005C693E">
              <w:rPr>
                <w:i/>
                <w:iCs/>
                <w:color w:val="538135"/>
              </w:rPr>
              <w:t xml:space="preserve"> </w:t>
            </w:r>
            <w:proofErr w:type="spellStart"/>
            <w:r w:rsidRPr="005C693E">
              <w:rPr>
                <w:i/>
                <w:iCs/>
                <w:color w:val="538135"/>
              </w:rPr>
              <w:t>NVMe</w:t>
            </w:r>
            <w:proofErr w:type="spellEnd"/>
            <w:r w:rsidRPr="005C693E">
              <w:rPr>
                <w:color w:val="538135"/>
              </w:rPr>
              <w:t>”</w:t>
            </w:r>
          </w:p>
          <w:p w:rsidR="005C693E" w:rsidRPr="005C693E" w:rsidRDefault="005C693E" w:rsidP="005C693E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1355AF" w:rsidRPr="005C693E" w:rsidRDefault="001355AF" w:rsidP="005C693E">
      <w:pPr>
        <w:jc w:val="both"/>
      </w:pPr>
      <w:r w:rsidRPr="005C693E">
        <w:lastRenderedPageBreak/>
        <w:t>W związku z powyższym Zamawiający informuje o następujących zmianach:</w:t>
      </w:r>
    </w:p>
    <w:p w:rsidR="001355AF" w:rsidRPr="005C693E" w:rsidRDefault="001355AF" w:rsidP="005C693E">
      <w:pPr>
        <w:numPr>
          <w:ilvl w:val="0"/>
          <w:numId w:val="8"/>
        </w:numPr>
        <w:jc w:val="both"/>
      </w:pPr>
      <w:r w:rsidRPr="005C693E">
        <w:t>zmienia załącznik - Szczegółowy opis przedmiotu zamówienia oraz Tabelę potwierdzenia parametrów technicznych.</w:t>
      </w:r>
    </w:p>
    <w:p w:rsidR="001355AF" w:rsidRPr="005C693E" w:rsidRDefault="001355AF" w:rsidP="005C693E">
      <w:pPr>
        <w:numPr>
          <w:ilvl w:val="0"/>
          <w:numId w:val="9"/>
        </w:numPr>
        <w:jc w:val="both"/>
      </w:pPr>
      <w:r w:rsidRPr="005C693E">
        <w:t>zmiana ogłoszenia o zamówieniu.</w:t>
      </w:r>
    </w:p>
    <w:p w:rsidR="001823BE" w:rsidRPr="005C693E" w:rsidRDefault="001823BE" w:rsidP="005C693E">
      <w:pPr>
        <w:pStyle w:val="Tekstpodstawowywcity3"/>
        <w:spacing w:line="240" w:lineRule="auto"/>
        <w:ind w:firstLine="0"/>
        <w:rPr>
          <w:sz w:val="20"/>
        </w:rPr>
      </w:pPr>
      <w:r w:rsidRPr="005C693E">
        <w:rPr>
          <w:sz w:val="20"/>
        </w:rPr>
        <w:t xml:space="preserve">Z uwagi na powyższe </w:t>
      </w:r>
      <w:r w:rsidRPr="005C693E">
        <w:rPr>
          <w:b/>
          <w:sz w:val="20"/>
        </w:rPr>
        <w:t>Zamawiający przedłuża termin składania ofert do dnia 28.09.2021 r. do godz. 10:30.</w:t>
      </w:r>
      <w:r w:rsidRPr="005C693E">
        <w:rPr>
          <w:sz w:val="20"/>
        </w:rPr>
        <w:t xml:space="preserve"> Oferty należy składać za pośrednictwem Platformy </w:t>
      </w:r>
      <w:hyperlink r:id="rId10" w:history="1">
        <w:r w:rsidRPr="005C693E">
          <w:rPr>
            <w:rStyle w:val="Hipercze"/>
            <w:rFonts w:eastAsia="Calibri"/>
            <w:color w:val="0070C0"/>
            <w:sz w:val="20"/>
            <w:lang w:eastAsia="en-US"/>
          </w:rPr>
          <w:t>https://e-ProPublico.pl/</w:t>
        </w:r>
      </w:hyperlink>
      <w:r w:rsidRPr="005C693E">
        <w:rPr>
          <w:sz w:val="20"/>
        </w:rPr>
        <w:t xml:space="preserve"> </w:t>
      </w:r>
      <w:r w:rsidRPr="005C693E">
        <w:rPr>
          <w:i/>
          <w:sz w:val="20"/>
        </w:rPr>
        <w:t>(zmiana dotyczy pkt. 18 SWZ).</w:t>
      </w:r>
    </w:p>
    <w:p w:rsidR="001823BE" w:rsidRPr="005C693E" w:rsidRDefault="001823BE" w:rsidP="005C693E">
      <w:pPr>
        <w:pStyle w:val="Tekstpodstawowywcity3"/>
        <w:spacing w:line="240" w:lineRule="auto"/>
        <w:rPr>
          <w:i/>
          <w:sz w:val="20"/>
        </w:rPr>
      </w:pPr>
      <w:r w:rsidRPr="005C693E">
        <w:rPr>
          <w:sz w:val="20"/>
        </w:rPr>
        <w:t xml:space="preserve">Otwarcie ofert nastąpi tego samego dnia tj. </w:t>
      </w:r>
      <w:r w:rsidRPr="005C693E">
        <w:rPr>
          <w:b/>
          <w:sz w:val="20"/>
        </w:rPr>
        <w:t>28</w:t>
      </w:r>
      <w:r w:rsidR="001355AF" w:rsidRPr="005C693E">
        <w:rPr>
          <w:b/>
          <w:sz w:val="20"/>
        </w:rPr>
        <w:t>.09.2021 r. o godz. 11:1</w:t>
      </w:r>
      <w:r w:rsidRPr="005C693E">
        <w:rPr>
          <w:b/>
          <w:sz w:val="20"/>
        </w:rPr>
        <w:t xml:space="preserve">0 </w:t>
      </w:r>
      <w:r w:rsidRPr="005C693E">
        <w:rPr>
          <w:sz w:val="20"/>
        </w:rPr>
        <w:t xml:space="preserve">za pośrednictwem Platformy. </w:t>
      </w:r>
      <w:r w:rsidRPr="005C693E">
        <w:rPr>
          <w:i/>
          <w:sz w:val="20"/>
        </w:rPr>
        <w:t xml:space="preserve">(zmiana dotyczy pkt. 19.1. SWZ). </w:t>
      </w:r>
    </w:p>
    <w:p w:rsidR="001823BE" w:rsidRPr="005C693E" w:rsidRDefault="001823BE" w:rsidP="005C693E">
      <w:pPr>
        <w:pStyle w:val="Tekstpodstawowywcity3"/>
        <w:spacing w:line="240" w:lineRule="auto"/>
        <w:rPr>
          <w:b/>
          <w:sz w:val="20"/>
        </w:rPr>
      </w:pPr>
      <w:r w:rsidRPr="005C693E">
        <w:rPr>
          <w:sz w:val="20"/>
        </w:rPr>
        <w:t xml:space="preserve">Wykonawca pozostaje związany ofertą do dnia </w:t>
      </w:r>
      <w:r w:rsidRPr="005C693E">
        <w:rPr>
          <w:b/>
          <w:sz w:val="20"/>
        </w:rPr>
        <w:t>2021-1</w:t>
      </w:r>
      <w:r w:rsidR="001355AF" w:rsidRPr="005C693E">
        <w:rPr>
          <w:b/>
          <w:sz w:val="20"/>
        </w:rPr>
        <w:t>2-26</w:t>
      </w:r>
      <w:r w:rsidRPr="005C693E">
        <w:rPr>
          <w:b/>
          <w:sz w:val="20"/>
        </w:rPr>
        <w:t xml:space="preserve"> </w:t>
      </w:r>
      <w:r w:rsidRPr="005C693E">
        <w:rPr>
          <w:i/>
          <w:sz w:val="20"/>
        </w:rPr>
        <w:t>(zmiana dotyczy pkt. 16.1 SWZ).</w:t>
      </w:r>
    </w:p>
    <w:p w:rsidR="001823BE" w:rsidRPr="005C693E" w:rsidRDefault="001823BE" w:rsidP="005C693E">
      <w:pPr>
        <w:jc w:val="both"/>
      </w:pPr>
    </w:p>
    <w:p w:rsidR="001823BE" w:rsidRPr="005C693E" w:rsidRDefault="001823BE" w:rsidP="005C693E">
      <w:pPr>
        <w:jc w:val="center"/>
      </w:pPr>
      <w:r w:rsidRPr="005C693E">
        <w:t>Kanclerz</w:t>
      </w:r>
    </w:p>
    <w:p w:rsidR="001823BE" w:rsidRPr="005C693E" w:rsidRDefault="001823BE" w:rsidP="005C693E">
      <w:pPr>
        <w:jc w:val="center"/>
      </w:pPr>
      <w:r w:rsidRPr="005C693E">
        <w:t>Politechniki Częstochowskiej</w:t>
      </w:r>
    </w:p>
    <w:p w:rsidR="001823BE" w:rsidRPr="005C693E" w:rsidRDefault="001823BE" w:rsidP="005C693E">
      <w:pPr>
        <w:jc w:val="center"/>
      </w:pPr>
      <w:r w:rsidRPr="005C693E">
        <w:t>dr inż. Arkadiusz Kociszewski</w:t>
      </w:r>
    </w:p>
    <w:sectPr w:rsidR="001823BE" w:rsidRPr="005C693E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4CE" w:rsidRDefault="006F04CE">
      <w:r>
        <w:separator/>
      </w:r>
    </w:p>
  </w:endnote>
  <w:endnote w:type="continuationSeparator" w:id="0">
    <w:p w:rsidR="006F04CE" w:rsidRDefault="006F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A63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853A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4CE" w:rsidRDefault="006F04CE">
      <w:r>
        <w:separator/>
      </w:r>
    </w:p>
  </w:footnote>
  <w:footnote w:type="continuationSeparator" w:id="0">
    <w:p w:rsidR="006F04CE" w:rsidRDefault="006F0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AB1" w:rsidRDefault="006F1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AB1" w:rsidRDefault="006F1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AB1" w:rsidRDefault="006F1A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06100"/>
    <w:multiLevelType w:val="hybridMultilevel"/>
    <w:tmpl w:val="0204B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184181"/>
    <w:multiLevelType w:val="hybridMultilevel"/>
    <w:tmpl w:val="48045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4CE"/>
    <w:rsid w:val="00031374"/>
    <w:rsid w:val="000A1097"/>
    <w:rsid w:val="000E2A8F"/>
    <w:rsid w:val="0012774F"/>
    <w:rsid w:val="001355AF"/>
    <w:rsid w:val="00144B7A"/>
    <w:rsid w:val="00180C6E"/>
    <w:rsid w:val="001823BE"/>
    <w:rsid w:val="0029606A"/>
    <w:rsid w:val="004848F3"/>
    <w:rsid w:val="004A75F2"/>
    <w:rsid w:val="005144A9"/>
    <w:rsid w:val="00520165"/>
    <w:rsid w:val="005B1B08"/>
    <w:rsid w:val="005C693E"/>
    <w:rsid w:val="00632C3C"/>
    <w:rsid w:val="00662BDB"/>
    <w:rsid w:val="006853AB"/>
    <w:rsid w:val="006A5DF1"/>
    <w:rsid w:val="006B7198"/>
    <w:rsid w:val="006D4AB3"/>
    <w:rsid w:val="006F04CE"/>
    <w:rsid w:val="006F1AB1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542CE"/>
    <w:rsid w:val="00D22FFA"/>
    <w:rsid w:val="00D8461B"/>
    <w:rsid w:val="00D9049C"/>
    <w:rsid w:val="00D915F2"/>
    <w:rsid w:val="00DA631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92453D"/>
  <w15:chartTrackingRefBased/>
  <w15:docId w15:val="{A36FCBF5-A340-4610-A2CE-A1286BCA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823BE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1823BE"/>
    <w:rPr>
      <w:sz w:val="26"/>
    </w:rPr>
  </w:style>
  <w:style w:type="paragraph" w:customStyle="1" w:styleId="Default">
    <w:name w:val="Default"/>
    <w:rsid w:val="005C693E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ideocardbenchmark.ne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cocertified.com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2551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2021-09-09T07:58:00Z</cp:lastPrinted>
  <dcterms:created xsi:type="dcterms:W3CDTF">2021-09-14T07:47:00Z</dcterms:created>
  <dcterms:modified xsi:type="dcterms:W3CDTF">2021-09-14T07:47:00Z</dcterms:modified>
</cp:coreProperties>
</file>