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708" w:rsidRDefault="00062049">
      <w:pPr>
        <w:spacing w:line="276" w:lineRule="auto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Załącznik nr 1 do SWZ</w:t>
      </w:r>
    </w:p>
    <w:p w:rsidR="00240708" w:rsidRDefault="00062049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Opis przedmiotu zamówienia</w:t>
      </w:r>
    </w:p>
    <w:p w:rsidR="00240708" w:rsidRDefault="00062049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WSTĘP</w:t>
      </w:r>
    </w:p>
    <w:p w:rsidR="00240708" w:rsidRDefault="00062049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Dla gospodarki zorientowanej na przemysł, jakościowo i ilościowo, niezawodne dostawy energii mają wysoki priorytet. Transformacja energetyczna wymaga przyspieszonego wykorzystania różnych zasobów, ze szczególnym uwzględnieniem zasobów regionalnych. Oznacza</w:t>
      </w:r>
      <w:r>
        <w:rPr>
          <w:rFonts w:asciiTheme="minorHAnsi" w:hAnsiTheme="minorHAnsi" w:cstheme="minorHAnsi"/>
        </w:rPr>
        <w:t xml:space="preserve"> to dywersyfikację źródeł energii i wykorzystanie całego istniejącego potencjału. </w:t>
      </w:r>
      <w:r>
        <w:rPr>
          <w:rFonts w:asciiTheme="minorHAnsi" w:hAnsiTheme="minorHAnsi" w:cstheme="minorHAnsi"/>
        </w:rPr>
        <w:t xml:space="preserve">Intensywniejsze </w:t>
      </w:r>
      <w:r>
        <w:rPr>
          <w:rFonts w:asciiTheme="minorHAnsi" w:hAnsiTheme="minorHAnsi" w:cstheme="minorHAnsi"/>
        </w:rPr>
        <w:t xml:space="preserve">wykorzystanie paliw alternatywnych znacząco przyczynia się również do </w:t>
      </w:r>
      <w:r>
        <w:rPr>
          <w:rFonts w:asciiTheme="minorHAnsi" w:hAnsiTheme="minorHAnsi" w:cstheme="minorHAnsi"/>
        </w:rPr>
        <w:t>zmniejszenia negatywnego wpływu na środowisko</w:t>
      </w:r>
      <w:r>
        <w:rPr>
          <w:rFonts w:asciiTheme="minorHAnsi" w:hAnsiTheme="minorHAnsi" w:cstheme="minorHAnsi"/>
        </w:rPr>
        <w:t>. Szczególnym wyzwaniem technicznym związanym z transformacją energetyczną jest magazynowanie i dystrybucja dużej ilości energii, na przykład w postaci ciekłego biogazu (</w:t>
      </w:r>
      <w:proofErr w:type="spellStart"/>
      <w:r>
        <w:rPr>
          <w:rFonts w:asciiTheme="minorHAnsi" w:hAnsiTheme="minorHAnsi" w:cstheme="minorHAnsi"/>
        </w:rPr>
        <w:t>bio</w:t>
      </w:r>
      <w:proofErr w:type="spellEnd"/>
      <w:r>
        <w:rPr>
          <w:rFonts w:asciiTheme="minorHAnsi" w:hAnsiTheme="minorHAnsi" w:cstheme="minorHAnsi"/>
        </w:rPr>
        <w:t>-LNG) lub gazu ziemnego (LNG). Jest to specyficzny problem technolog</w:t>
      </w:r>
      <w:r>
        <w:rPr>
          <w:rFonts w:asciiTheme="minorHAnsi" w:hAnsiTheme="minorHAnsi" w:cstheme="minorHAnsi"/>
        </w:rPr>
        <w:t xml:space="preserve">iczny/techniczny, którym zajmuje się projekt poprzez wspólne opracowywanie rozwiązań w celu stworzenia innowacyjnej techniczno-technologicznej platformy dla szerszego </w:t>
      </w:r>
      <w:r w:rsidR="00310ECB">
        <w:rPr>
          <w:rFonts w:asciiTheme="minorHAnsi" w:hAnsiTheme="minorHAnsi" w:cstheme="minorHAnsi"/>
        </w:rPr>
        <w:br/>
      </w:r>
      <w:bookmarkStart w:id="0" w:name="_GoBack"/>
      <w:bookmarkEnd w:id="0"/>
      <w:r>
        <w:rPr>
          <w:rFonts w:asciiTheme="minorHAnsi" w:hAnsiTheme="minorHAnsi" w:cstheme="minorHAnsi"/>
        </w:rPr>
        <w:t>i bardziej uniwersalnego wykorzystania (</w:t>
      </w:r>
      <w:proofErr w:type="spellStart"/>
      <w:r>
        <w:rPr>
          <w:rFonts w:asciiTheme="minorHAnsi" w:hAnsiTheme="minorHAnsi" w:cstheme="minorHAnsi"/>
        </w:rPr>
        <w:t>bio</w:t>
      </w:r>
      <w:proofErr w:type="spellEnd"/>
      <w:r>
        <w:rPr>
          <w:rFonts w:asciiTheme="minorHAnsi" w:hAnsiTheme="minorHAnsi" w:cstheme="minorHAnsi"/>
        </w:rPr>
        <w:t xml:space="preserve">-) LNG w skali mikro / </w:t>
      </w:r>
      <w:proofErr w:type="spellStart"/>
      <w:r>
        <w:rPr>
          <w:rFonts w:asciiTheme="minorHAnsi" w:hAnsiTheme="minorHAnsi" w:cstheme="minorHAnsi"/>
        </w:rPr>
        <w:t>nano</w:t>
      </w:r>
      <w:proofErr w:type="spellEnd"/>
      <w:r>
        <w:rPr>
          <w:rFonts w:asciiTheme="minorHAnsi" w:hAnsiTheme="minorHAnsi" w:cstheme="minorHAnsi"/>
        </w:rPr>
        <w:t xml:space="preserve"> (np. w zdecentrali</w:t>
      </w:r>
      <w:r>
        <w:rPr>
          <w:rFonts w:asciiTheme="minorHAnsi" w:hAnsiTheme="minorHAnsi" w:cstheme="minorHAnsi"/>
        </w:rPr>
        <w:t>zowanym systemie zaopatrzenia w energię).</w:t>
      </w:r>
    </w:p>
    <w:p w:rsidR="00240708" w:rsidRDefault="00062049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 najważniejszych elementów projektu należą:</w:t>
      </w:r>
    </w:p>
    <w:p w:rsidR="00240708" w:rsidRDefault="00062049">
      <w:pPr>
        <w:pStyle w:val="Akapitzlist"/>
        <w:numPr>
          <w:ilvl w:val="0"/>
          <w:numId w:val="41"/>
        </w:numPr>
        <w:spacing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Prezentacja nowych rozwiązań technicznych w celu podniesienia świadomości wartości dodanej rozwiązań technicznych związanych z (</w:t>
      </w:r>
      <w:proofErr w:type="spellStart"/>
      <w:r>
        <w:rPr>
          <w:rFonts w:asciiTheme="minorHAnsi" w:hAnsiTheme="minorHAnsi" w:cstheme="minorHAnsi"/>
          <w:sz w:val="24"/>
          <w:szCs w:val="24"/>
        </w:rPr>
        <w:t>bio</w:t>
      </w:r>
      <w:proofErr w:type="spellEnd"/>
      <w:r>
        <w:rPr>
          <w:rFonts w:asciiTheme="minorHAnsi" w:hAnsiTheme="minorHAnsi" w:cstheme="minorHAnsi"/>
          <w:sz w:val="24"/>
          <w:szCs w:val="24"/>
        </w:rPr>
        <w:t>) LNG. Praktyczny wkład we wzmocnieni</w:t>
      </w:r>
      <w:r>
        <w:rPr>
          <w:rFonts w:asciiTheme="minorHAnsi" w:hAnsiTheme="minorHAnsi" w:cstheme="minorHAnsi"/>
          <w:sz w:val="24"/>
          <w:szCs w:val="24"/>
        </w:rPr>
        <w:t>e zrównoważenia ekologicznego i innowacji gospodarczych w regionie południowego Bałtyku ma zostać osiągnięty dzięki wdrożonym inwestycjom pilotażowym, które mają na celu przedstawienie możliwych zastosowań technologii w zakresie zastosowania (</w:t>
      </w:r>
      <w:proofErr w:type="spellStart"/>
      <w:r>
        <w:rPr>
          <w:rFonts w:asciiTheme="minorHAnsi" w:hAnsiTheme="minorHAnsi" w:cstheme="minorHAnsi"/>
          <w:sz w:val="24"/>
          <w:szCs w:val="24"/>
        </w:rPr>
        <w:t>bio</w:t>
      </w:r>
      <w:proofErr w:type="spellEnd"/>
      <w:r>
        <w:rPr>
          <w:rFonts w:asciiTheme="minorHAnsi" w:hAnsiTheme="minorHAnsi" w:cstheme="minorHAnsi"/>
          <w:sz w:val="24"/>
          <w:szCs w:val="24"/>
        </w:rPr>
        <w:t>) LNG.</w:t>
      </w:r>
    </w:p>
    <w:p w:rsidR="00240708" w:rsidRDefault="00062049">
      <w:pPr>
        <w:pStyle w:val="Akapitzlist"/>
        <w:numPr>
          <w:ilvl w:val="0"/>
          <w:numId w:val="41"/>
        </w:numPr>
        <w:spacing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</w:t>
      </w:r>
      <w:r>
        <w:rPr>
          <w:rFonts w:asciiTheme="minorHAnsi" w:hAnsiTheme="minorHAnsi" w:cstheme="minorHAnsi"/>
          <w:sz w:val="24"/>
          <w:szCs w:val="24"/>
        </w:rPr>
        <w:t>mowanie współpracy transgranicznej B2B na rzecz rozwoju przyjaznych środowisku technologii, usług, produktów, norm itp.</w:t>
      </w:r>
    </w:p>
    <w:p w:rsidR="00240708" w:rsidRDefault="00240708">
      <w:pPr>
        <w:spacing w:line="276" w:lineRule="auto"/>
        <w:jc w:val="both"/>
        <w:rPr>
          <w:rFonts w:asciiTheme="minorHAnsi" w:hAnsiTheme="minorHAnsi" w:cstheme="minorHAnsi"/>
        </w:rPr>
      </w:pPr>
    </w:p>
    <w:p w:rsidR="00240708" w:rsidRDefault="00062049">
      <w:pPr>
        <w:pStyle w:val="Akapitzlist"/>
        <w:numPr>
          <w:ilvl w:val="0"/>
          <w:numId w:val="38"/>
        </w:numPr>
        <w:spacing w:after="0" w:line="276" w:lineRule="auto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OPIS PRZEDMIOTU ZAMOWIENIA</w:t>
      </w:r>
    </w:p>
    <w:p w:rsidR="00240708" w:rsidRDefault="00062049">
      <w:pPr>
        <w:spacing w:line="276" w:lineRule="auto"/>
        <w:ind w:left="39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Przedmiotem zamówienia jest wykonanie </w:t>
      </w:r>
      <w:bookmarkStart w:id="1" w:name="_Hlk68001500"/>
      <w:r>
        <w:rPr>
          <w:rFonts w:asciiTheme="minorHAnsi" w:hAnsiTheme="minorHAnsi" w:cstheme="minorHAnsi"/>
        </w:rPr>
        <w:t>mobilnej stacji tankowania paliw LNG zbudowanej w pojeździe o dopuszcz</w:t>
      </w:r>
      <w:r>
        <w:rPr>
          <w:rFonts w:asciiTheme="minorHAnsi" w:hAnsiTheme="minorHAnsi" w:cstheme="minorHAnsi"/>
        </w:rPr>
        <w:t>alnej masie całkowitej 3,5 t</w:t>
      </w:r>
      <w:bookmarkEnd w:id="1"/>
      <w:r>
        <w:rPr>
          <w:rFonts w:asciiTheme="minorHAnsi" w:hAnsiTheme="minorHAnsi" w:cstheme="minorHAnsi"/>
        </w:rPr>
        <w:t>.</w:t>
      </w:r>
    </w:p>
    <w:p w:rsidR="00240708" w:rsidRDefault="00062049">
      <w:pPr>
        <w:pStyle w:val="Akapitzlist"/>
        <w:numPr>
          <w:ilvl w:val="0"/>
          <w:numId w:val="38"/>
        </w:numPr>
        <w:spacing w:before="120" w:after="0" w:line="276" w:lineRule="auto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WYMAGANIA OGÓLNE</w:t>
      </w:r>
    </w:p>
    <w:p w:rsidR="00240708" w:rsidRDefault="00062049">
      <w:pPr>
        <w:spacing w:line="276" w:lineRule="auto"/>
        <w:ind w:left="39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wymaga:</w:t>
      </w:r>
    </w:p>
    <w:p w:rsidR="00240708" w:rsidRDefault="00062049">
      <w:pPr>
        <w:pStyle w:val="Akapitzlist"/>
        <w:numPr>
          <w:ilvl w:val="0"/>
          <w:numId w:val="39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Stworzenia projektu / koncepcji pojazdu z dopuszczalną masą całkowitą 3,5 t używanej jako mobilna stacja tankowania paliwa LNG. Koncepcja powinna uwzględniać różne obszary zastosowań </w:t>
      </w:r>
      <w:r>
        <w:rPr>
          <w:rFonts w:asciiTheme="minorHAnsi" w:hAnsiTheme="minorHAnsi" w:cstheme="minorHAnsi"/>
          <w:sz w:val="24"/>
          <w:szCs w:val="24"/>
        </w:rPr>
        <w:t>i funkcjonalne parametry aplikacji. Należy zdefiniować grupy docelowe, możliwe ilości transportu i potencjalne obszary zastosowania.</w:t>
      </w:r>
    </w:p>
    <w:p w:rsidR="00240708" w:rsidRDefault="00062049">
      <w:pPr>
        <w:pStyle w:val="Akapitzlist"/>
        <w:numPr>
          <w:ilvl w:val="0"/>
          <w:numId w:val="39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Opracowania specyfikacji technicznej projektu mobilnej stacji tankowania paliwa LNG.</w:t>
      </w:r>
    </w:p>
    <w:p w:rsidR="00240708" w:rsidRDefault="00062049">
      <w:pPr>
        <w:pStyle w:val="Akapitzlist"/>
        <w:numPr>
          <w:ilvl w:val="0"/>
          <w:numId w:val="39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Budowy mobilnej stacji tankowania pali</w:t>
      </w:r>
      <w:r>
        <w:rPr>
          <w:rFonts w:asciiTheme="minorHAnsi" w:hAnsiTheme="minorHAnsi" w:cstheme="minorHAnsi"/>
          <w:sz w:val="24"/>
          <w:szCs w:val="24"/>
        </w:rPr>
        <w:t>wa LNG w pojeździe o całkowitej masie dopuszczalnej 3,5 t zgodnie z wykonanym projektem/koncepcją i specyfikacją techniczną opracowanego projektu wraz ze spełnieniem wszystkich norm dopuszczenia do użytku drogowego oraz norm bezpieczeństwa w zakresie trans</w:t>
      </w:r>
      <w:r>
        <w:rPr>
          <w:rFonts w:asciiTheme="minorHAnsi" w:hAnsiTheme="minorHAnsi" w:cstheme="minorHAnsi"/>
          <w:sz w:val="24"/>
          <w:szCs w:val="24"/>
        </w:rPr>
        <w:t>portu i tankowania jako mobilna stacja tankowania paliwa LNG.</w:t>
      </w:r>
    </w:p>
    <w:p w:rsidR="00240708" w:rsidRDefault="00062049">
      <w:pPr>
        <w:pStyle w:val="Akapitzlist"/>
        <w:numPr>
          <w:ilvl w:val="0"/>
          <w:numId w:val="39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Dostarczenia dokumentacji technicznej dotyczącej użytkowania, dopuszczenia do ruchu i bezpieczeństwa, a także instrukcję obsługi dla personelu prowadzącego pojazd i zajmującego się tankowaniem (</w:t>
      </w:r>
      <w:r>
        <w:rPr>
          <w:rFonts w:asciiTheme="minorHAnsi" w:hAnsiTheme="minorHAnsi" w:cstheme="minorHAnsi"/>
          <w:sz w:val="24"/>
          <w:szCs w:val="24"/>
        </w:rPr>
        <w:t xml:space="preserve">w tym niezbędną dokumentację i instrukcje użytkowania, instrukcje użytkownika, instrukcje obsługi, instrukcje serwisowe, książki montażowe). </w:t>
      </w:r>
    </w:p>
    <w:p w:rsidR="00240708" w:rsidRDefault="00062049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UWAGI: </w:t>
      </w:r>
      <w:r>
        <w:rPr>
          <w:rFonts w:asciiTheme="minorHAnsi" w:hAnsiTheme="minorHAnsi" w:cstheme="minorHAnsi"/>
          <w:u w:val="single"/>
        </w:rPr>
        <w:t>Dostarczony produkt może mieć charakter prototypowy. Wszystkie dokumenty tworzone w trakcie realizacji zamó</w:t>
      </w:r>
      <w:r>
        <w:rPr>
          <w:rFonts w:asciiTheme="minorHAnsi" w:hAnsiTheme="minorHAnsi" w:cstheme="minorHAnsi"/>
          <w:u w:val="single"/>
        </w:rPr>
        <w:t>wienia powinny być w języku angielskim.</w:t>
      </w:r>
    </w:p>
    <w:p w:rsidR="00240708" w:rsidRDefault="00240708">
      <w:pPr>
        <w:spacing w:line="276" w:lineRule="auto"/>
        <w:jc w:val="both"/>
        <w:rPr>
          <w:rFonts w:asciiTheme="minorHAnsi" w:hAnsiTheme="minorHAnsi" w:cstheme="minorHAnsi"/>
        </w:rPr>
      </w:pPr>
    </w:p>
    <w:p w:rsidR="00240708" w:rsidRDefault="00062049">
      <w:pPr>
        <w:pStyle w:val="Akapitzlist"/>
        <w:numPr>
          <w:ilvl w:val="0"/>
          <w:numId w:val="38"/>
        </w:numPr>
        <w:spacing w:after="0" w:line="276" w:lineRule="auto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WYMAGANIA SZCZEGÓŁOWE</w:t>
      </w:r>
    </w:p>
    <w:p w:rsidR="00240708" w:rsidRDefault="00062049">
      <w:pPr>
        <w:spacing w:line="276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wymaga, aby:</w:t>
      </w:r>
    </w:p>
    <w:p w:rsidR="00240708" w:rsidRDefault="00062049">
      <w:pPr>
        <w:pStyle w:val="Akapitzlist"/>
        <w:numPr>
          <w:ilvl w:val="0"/>
          <w:numId w:val="40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Mobilna stacja tankowania paliwa LNG została wyposażona w zbiornik kriogeniczny przeznaczony do transportowania i tankowania innych obiektów paliwem LNG (50-100 kg </w:t>
      </w:r>
      <w:r>
        <w:rPr>
          <w:rFonts w:asciiTheme="minorHAnsi" w:hAnsiTheme="minorHAnsi" w:cstheme="minorHAnsi"/>
          <w:sz w:val="24"/>
          <w:szCs w:val="24"/>
        </w:rPr>
        <w:t>paliwa w pojemniku).</w:t>
      </w:r>
    </w:p>
    <w:p w:rsidR="00240708" w:rsidRDefault="00062049">
      <w:pPr>
        <w:pStyle w:val="Akapitzlist"/>
        <w:numPr>
          <w:ilvl w:val="0"/>
          <w:numId w:val="40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Mobilna stacja tankowania paliwa LNG miała całoroczny zasięg eksploatacji o promieniu co najmniej 150 km (drogi utwardzone).</w:t>
      </w:r>
    </w:p>
    <w:p w:rsidR="00240708" w:rsidRDefault="00062049">
      <w:pPr>
        <w:pStyle w:val="Akapitzlist"/>
        <w:numPr>
          <w:ilvl w:val="0"/>
          <w:numId w:val="40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Mobilna stacja tankowania paliwa LNG posiadała zdolności operacyjne (techniczne) pojazdu do przewozu towarów n</w:t>
      </w:r>
      <w:r>
        <w:rPr>
          <w:rFonts w:asciiTheme="minorHAnsi" w:hAnsiTheme="minorHAnsi" w:cstheme="minorHAnsi"/>
          <w:sz w:val="24"/>
          <w:szCs w:val="24"/>
        </w:rPr>
        <w:t>iebezpiecznych (LNG).</w:t>
      </w:r>
    </w:p>
    <w:p w:rsidR="00240708" w:rsidRDefault="00062049">
      <w:pPr>
        <w:pStyle w:val="Akapitzlist"/>
        <w:numPr>
          <w:ilvl w:val="0"/>
          <w:numId w:val="40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Pojazd stanowiący mobilną stację tankowania paliwa LNG posiadał możliwość wymiany zbiornika LNG przez wszystkie drzwi powierzchni ładownej pojazdu</w:t>
      </w:r>
    </w:p>
    <w:p w:rsidR="00240708" w:rsidRDefault="00062049">
      <w:pPr>
        <w:pStyle w:val="Akapitzlist"/>
        <w:numPr>
          <w:ilvl w:val="0"/>
          <w:numId w:val="40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Mobilna stacja tankowania paliwa LNG posiadała możliwość bezpośredniego tankowania inny</w:t>
      </w:r>
      <w:r>
        <w:rPr>
          <w:rFonts w:asciiTheme="minorHAnsi" w:hAnsiTheme="minorHAnsi" w:cstheme="minorHAnsi"/>
          <w:sz w:val="24"/>
          <w:szCs w:val="24"/>
        </w:rPr>
        <w:t>ch zbiorników kriogenicznych LNG, w tym co najmniej pojazdów ciężarowych, jednostek pływających wykorzystywanych m.in. w transporcie publicznym.</w:t>
      </w:r>
    </w:p>
    <w:p w:rsidR="00240708" w:rsidRDefault="00062049">
      <w:pPr>
        <w:pStyle w:val="Akapitzlist"/>
        <w:numPr>
          <w:ilvl w:val="0"/>
          <w:numId w:val="40"/>
        </w:numPr>
        <w:spacing w:after="0" w:line="276" w:lineRule="auto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Wykonawca zapewnił możliwość wykorzystania przedmiotu zamówienia jako demonstratora technicznego.</w:t>
      </w:r>
    </w:p>
    <w:p w:rsidR="00240708" w:rsidRDefault="00240708">
      <w:pPr>
        <w:spacing w:line="276" w:lineRule="auto"/>
        <w:rPr>
          <w:rFonts w:asciiTheme="minorHAnsi" w:hAnsiTheme="minorHAnsi" w:cstheme="minorHAnsi"/>
        </w:rPr>
      </w:pPr>
    </w:p>
    <w:sectPr w:rsidR="002407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304" w:bottom="1418" w:left="130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6E6C1" w16cex:dateUtc="2021-05-12T21:44:00Z"/>
  <w16cex:commentExtensible w16cex:durableId="2446E9CF" w16cex:dateUtc="2021-05-12T21:5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049" w:rsidRDefault="00062049">
      <w:r>
        <w:separator/>
      </w:r>
    </w:p>
  </w:endnote>
  <w:endnote w:type="continuationSeparator" w:id="0">
    <w:p w:rsidR="00062049" w:rsidRDefault="00062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708" w:rsidRDefault="002407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708" w:rsidRPr="00310ECB" w:rsidRDefault="00062049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 w:rsidRPr="00310ECB">
      <w:rPr>
        <w:rFonts w:ascii="Calibri" w:hAnsi="Calibri"/>
        <w:sz w:val="20"/>
        <w:szCs w:val="20"/>
        <w:lang w:val="en-US"/>
      </w:rPr>
      <w:t>Liquefied bio-gas as a driving force for development and use of green energy technology Interreg South Baltic Programme 2014 2020.</w:t>
    </w:r>
  </w:p>
  <w:p w:rsidR="00240708" w:rsidRDefault="00062049">
    <w:pPr>
      <w:pStyle w:val="Stopka"/>
      <w:tabs>
        <w:tab w:val="clear" w:pos="4536"/>
        <w:tab w:val="right" w:pos="9000"/>
      </w:tabs>
      <w:rPr>
        <w:rFonts w:ascii="Calibri" w:hAnsi="Calibri"/>
        <w:sz w:val="18"/>
        <w:szCs w:val="18"/>
      </w:rPr>
    </w:pPr>
    <w:r w:rsidRPr="00310ECB">
      <w:rPr>
        <w:sz w:val="18"/>
        <w:szCs w:val="18"/>
        <w:lang w:val="en-US"/>
      </w:rPr>
      <w:tab/>
    </w: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3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23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708" w:rsidRPr="00310ECB" w:rsidRDefault="00062049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 w:rsidRPr="00310ECB">
      <w:rPr>
        <w:rFonts w:ascii="Calibri" w:hAnsi="Calibri"/>
        <w:sz w:val="20"/>
        <w:szCs w:val="20"/>
        <w:lang w:val="en-US"/>
      </w:rPr>
      <w:t xml:space="preserve">Liquefied bio-gas as a driving force for development and use of green energy </w:t>
    </w:r>
    <w:r w:rsidRPr="00310ECB">
      <w:rPr>
        <w:rFonts w:ascii="Calibri" w:hAnsi="Calibri"/>
        <w:sz w:val="20"/>
        <w:szCs w:val="20"/>
        <w:lang w:val="en-US"/>
      </w:rPr>
      <w:t>technology Interreg South Baltic Programme 2014 2020.</w:t>
    </w:r>
  </w:p>
  <w:p w:rsidR="00240708" w:rsidRDefault="00062049">
    <w:pPr>
      <w:pStyle w:val="Stopka"/>
      <w:jc w:val="right"/>
    </w:pP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1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>
      <w:rPr>
        <w:rStyle w:val="Numerstrony"/>
        <w:rFonts w:ascii="Calibri" w:hAnsi="Calibri"/>
        <w:noProof/>
        <w:sz w:val="18"/>
        <w:szCs w:val="18"/>
      </w:rPr>
      <w:t>23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049" w:rsidRDefault="00062049">
      <w:r>
        <w:separator/>
      </w:r>
    </w:p>
  </w:footnote>
  <w:footnote w:type="continuationSeparator" w:id="0">
    <w:p w:rsidR="00062049" w:rsidRDefault="00062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708" w:rsidRDefault="00240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708" w:rsidRDefault="00062049">
    <w:pPr>
      <w:pStyle w:val="Nagwek"/>
    </w:pPr>
    <w:r>
      <w:rPr>
        <w:noProof/>
      </w:rPr>
      <w:drawing>
        <wp:anchor distT="0" distB="0" distL="114300" distR="114300" simplePos="0" relativeHeight="251663872" behindDoc="1" locked="0" layoutInCell="1" allowOverlap="1">
          <wp:simplePos x="0" y="0"/>
          <wp:positionH relativeFrom="margin">
            <wp:posOffset>172085</wp:posOffset>
          </wp:positionH>
          <wp:positionV relativeFrom="paragraph">
            <wp:posOffset>-211455</wp:posOffset>
          </wp:positionV>
          <wp:extent cx="3569563" cy="724048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9563" cy="724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margin">
            <wp:posOffset>4171950</wp:posOffset>
          </wp:positionH>
          <wp:positionV relativeFrom="paragraph">
            <wp:posOffset>-553085</wp:posOffset>
          </wp:positionV>
          <wp:extent cx="1419225" cy="1240297"/>
          <wp:effectExtent l="0" t="0" r="0" b="0"/>
          <wp:wrapNone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708" w:rsidRDefault="00062049">
    <w:pPr>
      <w:pStyle w:val="Nagwek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3615791" cy="733425"/>
          <wp:effectExtent l="0" t="0" r="3810" b="0"/>
          <wp:wrapNone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791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margin">
            <wp:posOffset>4134485</wp:posOffset>
          </wp:positionH>
          <wp:positionV relativeFrom="paragraph">
            <wp:posOffset>-450215</wp:posOffset>
          </wp:positionV>
          <wp:extent cx="1419225" cy="1240297"/>
          <wp:effectExtent l="0" t="0" r="0" b="0"/>
          <wp:wrapNone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51977"/>
    <w:multiLevelType w:val="hybridMultilevel"/>
    <w:tmpl w:val="43883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D102A61"/>
    <w:multiLevelType w:val="hybridMultilevel"/>
    <w:tmpl w:val="E61C5E1A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1EE3197E"/>
    <w:multiLevelType w:val="multilevel"/>
    <w:tmpl w:val="E0D298B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23B33EA4"/>
    <w:multiLevelType w:val="hybridMultilevel"/>
    <w:tmpl w:val="D528DA76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404E3AC1"/>
    <w:multiLevelType w:val="hybridMultilevel"/>
    <w:tmpl w:val="C134615A"/>
    <w:lvl w:ilvl="0" w:tplc="950678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9" w15:restartNumberingAfterBreak="0">
    <w:nsid w:val="53EC4C83"/>
    <w:multiLevelType w:val="hybridMultilevel"/>
    <w:tmpl w:val="D74E632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625B7F23"/>
    <w:multiLevelType w:val="hybridMultilevel"/>
    <w:tmpl w:val="C134615A"/>
    <w:lvl w:ilvl="0" w:tplc="950678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6A010D"/>
    <w:multiLevelType w:val="multilevel"/>
    <w:tmpl w:val="34FE5F0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23" w15:restartNumberingAfterBreak="0">
    <w:nsid w:val="65A658A0"/>
    <w:multiLevelType w:val="hybridMultilevel"/>
    <w:tmpl w:val="8286B01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5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 w15:restartNumberingAfterBreak="0">
    <w:nsid w:val="68153ECF"/>
    <w:multiLevelType w:val="hybridMultilevel"/>
    <w:tmpl w:val="E95C34D6"/>
    <w:lvl w:ilvl="0" w:tplc="8D86D5EA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71A63872"/>
    <w:multiLevelType w:val="multilevel"/>
    <w:tmpl w:val="475AD6D2"/>
    <w:lvl w:ilvl="0">
      <w:start w:val="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176" w:hanging="2160"/>
      </w:pPr>
      <w:rPr>
        <w:rFonts w:hint="default"/>
      </w:rPr>
    </w:lvl>
  </w:abstractNum>
  <w:abstractNum w:abstractNumId="2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7523007A"/>
    <w:multiLevelType w:val="hybridMultilevel"/>
    <w:tmpl w:val="EE303AE6"/>
    <w:lvl w:ilvl="0" w:tplc="F64C50A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C800DA8">
      <w:start w:val="1"/>
      <w:numFmt w:val="lowerLetter"/>
      <w:lvlText w:val="%2."/>
      <w:lvlJc w:val="left"/>
      <w:pPr>
        <w:ind w:left="1440" w:hanging="360"/>
      </w:pPr>
    </w:lvl>
    <w:lvl w:ilvl="2" w:tplc="24F66A42">
      <w:start w:val="1"/>
      <w:numFmt w:val="lowerRoman"/>
      <w:lvlText w:val="%3."/>
      <w:lvlJc w:val="right"/>
      <w:pPr>
        <w:ind w:left="2160" w:hanging="180"/>
      </w:pPr>
    </w:lvl>
    <w:lvl w:ilvl="3" w:tplc="C1546594">
      <w:start w:val="1"/>
      <w:numFmt w:val="decimal"/>
      <w:lvlText w:val="%4."/>
      <w:lvlJc w:val="left"/>
      <w:pPr>
        <w:ind w:left="2880" w:hanging="360"/>
      </w:pPr>
    </w:lvl>
    <w:lvl w:ilvl="4" w:tplc="50985C12">
      <w:start w:val="1"/>
      <w:numFmt w:val="lowerLetter"/>
      <w:lvlText w:val="%5."/>
      <w:lvlJc w:val="left"/>
      <w:pPr>
        <w:ind w:left="3600" w:hanging="360"/>
      </w:pPr>
    </w:lvl>
    <w:lvl w:ilvl="5" w:tplc="9664FB4A">
      <w:start w:val="1"/>
      <w:numFmt w:val="lowerRoman"/>
      <w:lvlText w:val="%6."/>
      <w:lvlJc w:val="right"/>
      <w:pPr>
        <w:ind w:left="4320" w:hanging="180"/>
      </w:pPr>
    </w:lvl>
    <w:lvl w:ilvl="6" w:tplc="11C04622">
      <w:start w:val="1"/>
      <w:numFmt w:val="decimal"/>
      <w:lvlText w:val="%7."/>
      <w:lvlJc w:val="left"/>
      <w:pPr>
        <w:ind w:left="5040" w:hanging="360"/>
      </w:pPr>
    </w:lvl>
    <w:lvl w:ilvl="7" w:tplc="D92864AA">
      <w:start w:val="1"/>
      <w:numFmt w:val="lowerLetter"/>
      <w:lvlText w:val="%8."/>
      <w:lvlJc w:val="left"/>
      <w:pPr>
        <w:ind w:left="5760" w:hanging="360"/>
      </w:pPr>
    </w:lvl>
    <w:lvl w:ilvl="8" w:tplc="5ACC95D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2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3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7DD36E92"/>
    <w:multiLevelType w:val="hybridMultilevel"/>
    <w:tmpl w:val="4288D18E"/>
    <w:lvl w:ilvl="0" w:tplc="CD5A8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6073D7"/>
    <w:multiLevelType w:val="hybridMultilevel"/>
    <w:tmpl w:val="52D418C8"/>
    <w:lvl w:ilvl="0" w:tplc="6ED691C8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6" w15:restartNumberingAfterBreak="0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4"/>
  </w:num>
  <w:num w:numId="2">
    <w:abstractNumId w:val="9"/>
  </w:num>
  <w:num w:numId="3">
    <w:abstractNumId w:val="12"/>
  </w:num>
  <w:num w:numId="4">
    <w:abstractNumId w:val="8"/>
  </w:num>
  <w:num w:numId="5">
    <w:abstractNumId w:val="10"/>
  </w:num>
  <w:num w:numId="6">
    <w:abstractNumId w:val="24"/>
  </w:num>
  <w:num w:numId="7">
    <w:abstractNumId w:val="16"/>
  </w:num>
  <w:num w:numId="8">
    <w:abstractNumId w:val="25"/>
  </w:num>
  <w:num w:numId="9">
    <w:abstractNumId w:val="1"/>
  </w:num>
  <w:num w:numId="10">
    <w:abstractNumId w:val="15"/>
  </w:num>
  <w:num w:numId="11">
    <w:abstractNumId w:val="18"/>
  </w:num>
  <w:num w:numId="12">
    <w:abstractNumId w:val="27"/>
  </w:num>
  <w:num w:numId="13">
    <w:abstractNumId w:val="2"/>
  </w:num>
  <w:num w:numId="14">
    <w:abstractNumId w:val="31"/>
  </w:num>
  <w:num w:numId="15">
    <w:abstractNumId w:val="32"/>
  </w:num>
  <w:num w:numId="16">
    <w:abstractNumId w:val="36"/>
  </w:num>
  <w:num w:numId="17">
    <w:abstractNumId w:val="5"/>
  </w:num>
  <w:num w:numId="18">
    <w:abstractNumId w:val="14"/>
  </w:num>
  <w:num w:numId="19">
    <w:abstractNumId w:val="29"/>
  </w:num>
  <w:num w:numId="20">
    <w:abstractNumId w:val="7"/>
  </w:num>
  <w:num w:numId="21">
    <w:abstractNumId w:val="20"/>
  </w:num>
  <w:num w:numId="22">
    <w:abstractNumId w:val="11"/>
  </w:num>
  <w:num w:numId="23">
    <w:abstractNumId w:val="13"/>
  </w:num>
  <w:num w:numId="24">
    <w:abstractNumId w:val="33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4"/>
  </w:num>
  <w:num w:numId="28">
    <w:abstractNumId w:val="4"/>
  </w:num>
  <w:num w:numId="29">
    <w:abstractNumId w:val="30"/>
  </w:num>
  <w:num w:numId="30">
    <w:abstractNumId w:val="28"/>
  </w:num>
  <w:num w:numId="31">
    <w:abstractNumId w:val="23"/>
  </w:num>
  <w:num w:numId="32">
    <w:abstractNumId w:val="3"/>
  </w:num>
  <w:num w:numId="33">
    <w:abstractNumId w:val="35"/>
  </w:num>
  <w:num w:numId="34">
    <w:abstractNumId w:val="6"/>
  </w:num>
  <w:num w:numId="35">
    <w:abstractNumId w:val="26"/>
  </w:num>
  <w:num w:numId="36">
    <w:abstractNumId w:val="19"/>
  </w:num>
  <w:num w:numId="37">
    <w:abstractNumId w:val="0"/>
  </w:num>
  <w:num w:numId="38">
    <w:abstractNumId w:val="22"/>
  </w:num>
  <w:num w:numId="39">
    <w:abstractNumId w:val="21"/>
  </w:num>
  <w:num w:numId="40">
    <w:abstractNumId w:val="17"/>
  </w:num>
  <w:num w:numId="41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708"/>
    <w:rsid w:val="00062049"/>
    <w:rsid w:val="00240708"/>
    <w:rsid w:val="0031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F5F6B9"/>
  <w15:chartTrackingRefBased/>
  <w15:docId w15:val="{30C9D30E-E9AA-40E3-A9FA-19082CF60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pPr>
      <w:numPr>
        <w:ilvl w:val="1"/>
        <w:numId w:val="1"/>
      </w:numPr>
      <w:spacing w:before="12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Pr>
      <w:color w:val="0563C1"/>
      <w:u w:val="single"/>
    </w:rPr>
  </w:style>
  <w:style w:type="character" w:customStyle="1" w:styleId="TytuZnak">
    <w:name w:val="Tytuł Znak"/>
    <w:link w:val="Tytu"/>
    <w:rPr>
      <w:rFonts w:cs="Arial"/>
      <w:b/>
      <w:bCs/>
      <w:kern w:val="28"/>
      <w:sz w:val="32"/>
      <w:szCs w:val="32"/>
    </w:rPr>
  </w:style>
  <w:style w:type="character" w:customStyle="1" w:styleId="AkapitzlistZnak">
    <w:name w:val="Akapit z listą Znak"/>
    <w:link w:val="Akapitzlist"/>
    <w:uiPriority w:val="3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9EAED-3085-4F9E-AD70-D83AA2DF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581</Words>
  <Characters>3491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@v_przet@zamaw_nazwa</vt:lpstr>
      <vt:lpstr>@v_przet@zamaw_nazwa</vt:lpstr>
    </vt:vector>
  </TitlesOfParts>
  <Company>Datacomp Sp. z o.o.</Company>
  <LinksUpToDate>false</LinksUpToDate>
  <CharactersWithSpaces>4064</CharactersWithSpaces>
  <SharedDoc>false</SharedDoc>
  <HLinks>
    <vt:vector size="24" baseType="variant">
      <vt:variant>
        <vt:i4>4128885</vt:i4>
      </vt:variant>
      <vt:variant>
        <vt:i4>264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  <vt:variant>
        <vt:i4>327682</vt:i4>
      </vt:variant>
      <vt:variant>
        <vt:i4>231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1966192</vt:i4>
      </vt:variant>
      <vt:variant>
        <vt:i4>180</vt:i4>
      </vt:variant>
      <vt:variant>
        <vt:i4>0</vt:i4>
      </vt:variant>
      <vt:variant>
        <vt:i4>5</vt:i4>
      </vt:variant>
      <vt:variant>
        <vt:lpwstr>mailto:zampubl@umg.edu.pl</vt:lpwstr>
      </vt:variant>
      <vt:variant>
        <vt:lpwstr/>
      </vt:variant>
      <vt:variant>
        <vt:i4>4128885</vt:i4>
      </vt:variant>
      <vt:variant>
        <vt:i4>42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Anna Osiecka</dc:creator>
  <cp:keywords/>
  <cp:lastModifiedBy>Anna Osiecka</cp:lastModifiedBy>
  <cp:revision>3</cp:revision>
  <cp:lastPrinted>1899-12-31T23:00:00Z</cp:lastPrinted>
  <dcterms:created xsi:type="dcterms:W3CDTF">2021-05-17T10:07:00Z</dcterms:created>
  <dcterms:modified xsi:type="dcterms:W3CDTF">2021-05-19T08:01:00Z</dcterms:modified>
</cp:coreProperties>
</file>