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13C77" w:rsidRDefault="00112CCF" w:rsidP="00112CCF">
      <w:pPr>
        <w:rPr>
          <w:rFonts w:ascii="Times New Roman" w:hAnsi="Times New Roman" w:cs="Times New Roman"/>
          <w:b/>
          <w:bCs/>
        </w:rPr>
      </w:pPr>
      <w:r w:rsidRPr="00112CCF">
        <w:rPr>
          <w:rFonts w:ascii="Times New Roman" w:hAnsi="Times New Roman" w:cs="Times New Roman"/>
          <w:b/>
          <w:bCs/>
        </w:rPr>
        <w:t xml:space="preserve">Pakiet nr 1- Środki dezynfekcyjne do powierzchni </w:t>
      </w:r>
    </w:p>
    <w:tbl>
      <w:tblPr>
        <w:tblStyle w:val="Tabela-Siatka"/>
        <w:tblpPr w:leftFromText="141" w:rightFromText="141" w:horzAnchor="margin" w:tblpX="-856" w:tblpY="576"/>
        <w:tblW w:w="15740" w:type="dxa"/>
        <w:tblLayout w:type="fixed"/>
        <w:tblLook w:val="04A0" w:firstRow="1" w:lastRow="0" w:firstColumn="1" w:lastColumn="0" w:noHBand="0" w:noVBand="1"/>
      </w:tblPr>
      <w:tblGrid>
        <w:gridCol w:w="482"/>
        <w:gridCol w:w="4049"/>
        <w:gridCol w:w="1276"/>
        <w:gridCol w:w="1134"/>
        <w:gridCol w:w="1053"/>
        <w:gridCol w:w="780"/>
        <w:gridCol w:w="866"/>
        <w:gridCol w:w="924"/>
        <w:gridCol w:w="866"/>
        <w:gridCol w:w="1065"/>
        <w:gridCol w:w="1316"/>
        <w:gridCol w:w="1016"/>
        <w:gridCol w:w="913"/>
      </w:tblGrid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i opis przedmiotu zamawianego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Nazwa produktu/   Nr katalogowy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Jm</w:t>
            </w:r>
            <w:proofErr w:type="spellEnd"/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Zapotrzebowanie na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w opakowaniach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Cena jedn. bez VAT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Wartość bez VAT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Podatek VAT w zł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i w %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Wartość 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  <w:t>z VAT w zł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Termin ważności</w:t>
            </w: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(min. 12 m-</w:t>
            </w:r>
            <w:proofErr w:type="spellStart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cy</w:t>
            </w:r>
            <w:proofErr w:type="spellEnd"/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Wielkość najmniejszego opakowania handlowego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Producent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Próbki</w:t>
            </w:r>
          </w:p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chlorowy oparty o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dichloroizocyjanuran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sodu, w postaci tabletek, przeznaczony do dezynfekcji dużych powierzchni zmywalnych, również obciążonych materiałem organicznym. Możliwość zalewania zanieczyszczeń organicznych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jednoczesnym działaniem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sporobójczym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preparat skuteczny w stosunku do 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rybotyp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027), czas działania nie dłuższy niż 15 min., wg EN 13704 lub równoważne. Neutralne lub zasadowe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roztworu użytkowego=7,0-8,0. Wymagane oznakowane miarki do inaktywacji materiału biologicznego.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 300 tabl.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000 tabletek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alkoholowy przeznaczony do szybkiej dezynfekcji małych powierzchni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Opakowanie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z atomizerem 650 ml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Preparat  alkoholowy przeznaczony do szybkiej dezynfekcji małych powier</w:t>
            </w:r>
            <w:bookmarkStart w:id="0" w:name="_GoBack"/>
            <w:bookmarkEnd w:id="0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zchni i miejsc trudno dostępnych, gotowy do użycia. Nie zawierający aldehydów, QAV i pochodnych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biguanidyny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. Zawierający minimum 3 substancje aktywne. Wymagana pozytywna opinia kliniczna Instytutu Matki i Dziecka (lub instytutu równoważnego) do stosowania na oddziałach pediatrycznych. Przebadany zgodnie z normą 16615 lub równoważną.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powierzchni zanieczyszczonych 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160g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 na bazie aktywnego tlenu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dezynfekcji powierzchni zanieczyszczonych  materiałem organicznym. Nie zawierający aldehydów, QAV, fenoli, chloru i barwników.   Wymagany neutralny odczyn roztworu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=7,0-8,0). Produkt w postaci proszku. Przygotowanie roztworu w wodzie o temp. pokojowej (max.20˚C). Spektrum działania prątki, B, F, V(Polio) do 10 min. S (Clostridium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difficile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do 10 min. Przebadany zgodnie z normą 16615 lub równoważną. 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1,5 kg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 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– do 1 godziny. Wymagana deklaracja zgodności CE. Przebadany zgodnie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z normą 16615 lub równoważną. Wymagana pozytywna opinia kliniczna Instytutu Matki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>i Dziecka (lub instytutu równoważnego) do stosowania na oddziałach pediatrycznych.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 xml:space="preserve">Pojemnik </w:t>
            </w:r>
            <w:r w:rsidRPr="00F13C77">
              <w:rPr>
                <w:rFonts w:ascii="Times New Roman" w:hAnsi="Times New Roman" w:cs="Times New Roman"/>
                <w:sz w:val="18"/>
                <w:szCs w:val="18"/>
              </w:rPr>
              <w:br/>
              <w:t>z dozownikiem 2l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myjąco – dezynfekujący do dużych powierzchni zmywalnych również w obszarach podwyższonego ryzyka, również na oddziałach pediatrycznych; niezawierający aldehydów, fenoli, QAV, chloru i substancji nadtlenowych; oparty na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glukoprotaminie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Czas i spektrum działania: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B (włącznie z MRSA),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BVDV) – 15min.B (włącznie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SV40) – 30min.B (włącznie z MRSA 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), F, V (HBV, HCV, HIV,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Herpes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Vakzinia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BVDV, SV40,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Papova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) – do 1 godziny. Wymagana deklaracja zgodności CE. Przebadany zgodnie z normą 16615 lub równoważną. Wymagana pozytywna opinia kliniczna Instytutu Matki i Dziecka (lub instytutu równoważnego) do stosowania na oddziałach pediatrycznych.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6l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N, 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 .Wymagana pozytywna opinia kliniczna Instytutu Matki i Dziecka (lub instytutu równoważnego) do stosowania na oddziałach pediatrycznych.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 2l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Płynny koncentrat, przeznaczony do mycia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dezynfekcji wszystkich rodzajów powierzchni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w środowisku szpitalnym. nie posiadający substancji lotnych i zapachowych co zapewnia bezpieczne stosowanie preparatu. Oparty o 2-fenoksyetanol,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N ,N-bis-(3-aminopropylo)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dodecyloaminy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chlorek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benzalkoniowy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.  Potwierdzone działanie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EN 16615 lub równoważną (warunki czyste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i brudne) 0,5% w 15 minut, Skuteczny wobec wszystkich wirusów osłonionych łącznie (HBV, HCV, HIV) z możliwością rozszerzenia właściwości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bójczych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o EN 14348 lub równoważną (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prątkobójczy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mykobakteriobójczy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oraz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Polyoma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SV 40, Rota, Noro. Wymagana pozytywna opinia kliniczna Instytutu Matki i Dziecka (lub instytutu równoważnego) do stosowania na oddziałach pediatrycznych.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 6l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D13085" w:rsidP="00174EE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z normą 16615 lub równoważną. 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pojemnik 750 ml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 op.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Preparat w piance do dezynfekcji sprzętów medycznych wrażliwych na działanie alkoholi. Na bazie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glukoprotaminy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alkoholu (do 30%) </w:t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  <w:t xml:space="preserve">i QAV. Nie zawierający aldehydów. Spektrum działania: B,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Tbc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, F, V (HIV, HBV, HCV, Rota, </w:t>
            </w:r>
            <w:proofErr w:type="spellStart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Adeno</w:t>
            </w:r>
            <w:proofErr w:type="spellEnd"/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) w czasie do 5 minut. Wymagana pozytywna opinia kliniczna Instytutu Matki i Dziecka (lub instytutu równoważnego). Przebadany zgodnie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br/>
            </w:r>
            <w:r w:rsidRPr="00F13C77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z normą 16615 lub równoważną.</w:t>
            </w:r>
          </w:p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13C77">
              <w:rPr>
                <w:rFonts w:ascii="Times New Roman" w:hAnsi="Times New Roman" w:cs="Times New Roman"/>
                <w:sz w:val="18"/>
                <w:szCs w:val="18"/>
              </w:rPr>
              <w:t>Kanister 5l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13C7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X</w:t>
            </w:r>
          </w:p>
        </w:tc>
      </w:tr>
      <w:tr w:rsidR="00112CCF" w:rsidRPr="00F13C77" w:rsidTr="00CD6428">
        <w:tc>
          <w:tcPr>
            <w:tcW w:w="482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49" w:type="dxa"/>
          </w:tcPr>
          <w:p w:rsidR="00112CCF" w:rsidRPr="00F13C77" w:rsidRDefault="00112CCF" w:rsidP="00174EED">
            <w:pPr>
              <w:jc w:val="both"/>
              <w:rPr>
                <w:rFonts w:ascii="Times New Roman" w:hAnsi="Times New Roman" w:cs="Times New Roman"/>
              </w:rPr>
            </w:pPr>
            <w:r w:rsidRPr="00F13C77">
              <w:rPr>
                <w:rFonts w:ascii="Times New Roman" w:hAnsi="Times New Roman" w:cs="Times New Roman"/>
              </w:rPr>
              <w:t>RZEM</w:t>
            </w:r>
          </w:p>
        </w:tc>
        <w:tc>
          <w:tcPr>
            <w:tcW w:w="127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53" w:type="dxa"/>
          </w:tcPr>
          <w:p w:rsidR="00112CCF" w:rsidRPr="00F13C77" w:rsidRDefault="00112CCF" w:rsidP="00112CC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80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4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5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16" w:type="dxa"/>
          </w:tcPr>
          <w:p w:rsidR="00112CCF" w:rsidRPr="00F13C77" w:rsidRDefault="00112CCF" w:rsidP="00174EE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3" w:type="dxa"/>
          </w:tcPr>
          <w:p w:rsidR="00112CCF" w:rsidRPr="00F13C77" w:rsidRDefault="00112CCF" w:rsidP="00174EE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112CCF" w:rsidRDefault="00112CCF" w:rsidP="00112CCF">
      <w:pPr>
        <w:rPr>
          <w:rFonts w:ascii="Times New Roman" w:hAnsi="Times New Roman" w:cs="Times New Roman"/>
        </w:rPr>
      </w:pPr>
    </w:p>
    <w:p w:rsidR="00112CCF" w:rsidRPr="00F13C77" w:rsidRDefault="00112CCF" w:rsidP="00112CCF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Wartość</w:t>
      </w:r>
      <w:proofErr w:type="spellEnd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 xml:space="preserve"> z VAT </w:t>
      </w:r>
      <w:proofErr w:type="spellStart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słownie</w:t>
      </w:r>
      <w:proofErr w:type="spellEnd"/>
      <w:r w:rsidRPr="00F13C77">
        <w:rPr>
          <w:rFonts w:ascii="Times New Roman" w:eastAsia="Calibri" w:hAnsi="Times New Roman" w:cs="Times New Roman"/>
          <w:color w:val="000000"/>
          <w:lang w:val="en-US" w:bidi="en-US"/>
        </w:rPr>
        <w:t>……………………………………………………………</w:t>
      </w:r>
    </w:p>
    <w:p w:rsidR="00112CCF" w:rsidRPr="00F13C77" w:rsidRDefault="00112CCF" w:rsidP="00112CCF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112CCF" w:rsidRPr="00F13C77" w:rsidRDefault="00112CCF" w:rsidP="00112CCF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112CCF" w:rsidRPr="00F13C77" w:rsidRDefault="00112CCF" w:rsidP="00112CCF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p w:rsidR="00112CCF" w:rsidRPr="00F13C77" w:rsidRDefault="00112CCF" w:rsidP="00112CCF">
      <w:pPr>
        <w:widowControl w:val="0"/>
        <w:tabs>
          <w:tab w:val="left" w:pos="5475"/>
          <w:tab w:val="center" w:pos="8042"/>
        </w:tabs>
        <w:suppressAutoHyphens/>
        <w:spacing w:after="0" w:line="100" w:lineRule="atLeast"/>
        <w:rPr>
          <w:rFonts w:ascii="Times New Roman" w:eastAsia="Calibri" w:hAnsi="Times New Roman" w:cs="Times New Roman"/>
          <w:color w:val="000000"/>
          <w:lang w:val="en-US" w:bidi="en-US"/>
        </w:rPr>
      </w:pPr>
    </w:p>
    <w:sectPr w:rsidR="00112CCF" w:rsidRPr="00F13C77" w:rsidSect="00475D59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75D59" w:rsidRDefault="00475D59" w:rsidP="00475D59">
      <w:pPr>
        <w:spacing w:after="0" w:line="240" w:lineRule="auto"/>
      </w:pPr>
      <w:r>
        <w:separator/>
      </w:r>
    </w:p>
  </w:endnote>
  <w:endnote w:type="continuationSeparator" w:id="0">
    <w:p w:rsidR="00475D59" w:rsidRDefault="00475D59" w:rsidP="00475D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CD6428" w:rsidRDefault="00CD6428" w:rsidP="00CD6428">
    <w:pPr>
      <w:widowControl w:val="0"/>
      <w:tabs>
        <w:tab w:val="left" w:pos="1125"/>
      </w:tabs>
      <w:suppressAutoHyphens/>
      <w:spacing w:after="0" w:line="240" w:lineRule="auto"/>
      <w:rPr>
        <w:rFonts w:ascii="Times New Roman" w:eastAsia="Segoe UI" w:hAnsi="Times New Roman" w:cs="Times New Roman"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Dane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identyfikujące</w:t>
    </w:r>
    <w:proofErr w:type="spellEnd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Wykonawcę</w:t>
    </w:r>
    <w:proofErr w:type="spellEnd"/>
  </w:p>
  <w:p w:rsidR="00F13C77" w:rsidRPr="00F13C77" w:rsidRDefault="00CD6428" w:rsidP="00CD6428">
    <w:pPr>
      <w:widowControl w:val="0"/>
      <w:tabs>
        <w:tab w:val="left" w:pos="1125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</w:pPr>
    <w:r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                                                                                                                                               </w:t>
    </w:r>
    <w:proofErr w:type="spellStart"/>
    <w:r>
      <w:rPr>
        <w:rFonts w:ascii="Times New Roman" w:eastAsia="Segoe UI" w:hAnsi="Times New Roman" w:cs="Times New Roman"/>
        <w:color w:val="000000"/>
        <w:szCs w:val="24"/>
        <w:lang w:val="en-US" w:bidi="en-US"/>
      </w:rPr>
      <w:t>P</w:t>
    </w:r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odpis</w:t>
    </w:r>
    <w:proofErr w:type="spellEnd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osoby</w:t>
    </w:r>
    <w:proofErr w:type="spellEnd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upoważnionej</w:t>
    </w:r>
    <w:proofErr w:type="spellEnd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do </w:t>
    </w:r>
    <w:proofErr w:type="spellStart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reprezentowania</w:t>
    </w:r>
    <w:proofErr w:type="spellEnd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 xml:space="preserve"> </w:t>
    </w:r>
    <w:proofErr w:type="spellStart"/>
    <w:r w:rsidR="00F13C77" w:rsidRPr="00F13C77">
      <w:rPr>
        <w:rFonts w:ascii="Times New Roman" w:eastAsia="Segoe UI" w:hAnsi="Times New Roman" w:cs="Times New Roman"/>
        <w:color w:val="000000"/>
        <w:szCs w:val="24"/>
        <w:lang w:val="en-US" w:bidi="en-US"/>
      </w:rPr>
      <w:t>Wykonawcy</w:t>
    </w:r>
    <w:proofErr w:type="spellEnd"/>
    <w:r w:rsidR="00F13C77" w:rsidRPr="00F13C77">
      <w:rPr>
        <w:rFonts w:ascii="Times New Roman" w:eastAsia="Times New Roman" w:hAnsi="Times New Roman" w:cs="Times New Roman"/>
        <w:b/>
        <w:color w:val="000000"/>
        <w:szCs w:val="24"/>
        <w:lang w:val="en-US" w:bidi="en-US"/>
      </w:rPr>
      <w:t xml:space="preserve">                                                                            </w:t>
    </w:r>
  </w:p>
  <w:p w:rsidR="00F13C77" w:rsidRPr="00F13C77" w:rsidRDefault="00CD6428" w:rsidP="00F13C77">
    <w:pPr>
      <w:rPr>
        <w:rFonts w:ascii="Times New Roman" w:hAnsi="Times New Roman" w:cs="Times New Roman"/>
      </w:rPr>
    </w:pPr>
    <w:r w:rsidRPr="00CD6428">
      <w:rPr>
        <w:rFonts w:ascii="Times New Roman" w:hAnsi="Times New Roman" w:cs="Times New Roman"/>
        <w:b/>
        <w:bCs/>
      </w:rPr>
      <w:t>……………………………………….</w:t>
    </w:r>
    <w:r w:rsidR="00F13C77" w:rsidRPr="00CD6428">
      <w:rPr>
        <w:rFonts w:ascii="Times New Roman" w:hAnsi="Times New Roman" w:cs="Times New Roman"/>
        <w:b/>
        <w:bCs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="00F13C77">
      <w:rPr>
        <w:rFonts w:ascii="Times New Roman" w:hAnsi="Times New Roman" w:cs="Times New Roman"/>
      </w:rPr>
      <w:tab/>
    </w:r>
    <w:r w:rsidRPr="00CD6428">
      <w:rPr>
        <w:rFonts w:ascii="Times New Roman" w:hAnsi="Times New Roman" w:cs="Times New Roman"/>
        <w:b/>
        <w:bCs/>
      </w:rPr>
      <w:t>………………….</w:t>
    </w:r>
    <w:r w:rsidR="00F13C77" w:rsidRPr="00CD6428">
      <w:rPr>
        <w:rFonts w:ascii="Times New Roman" w:eastAsia="Times New Roman" w:hAnsi="Times New Roman" w:cs="Times New Roman"/>
        <w:b/>
        <w:bCs/>
        <w:color w:val="000000"/>
        <w:szCs w:val="24"/>
        <w:lang w:val="en-US" w:bidi="en-US"/>
      </w:rPr>
      <w:t>…………………………………</w:t>
    </w:r>
  </w:p>
  <w:p w:rsidR="00F13C77" w:rsidRDefault="00F13C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75D59" w:rsidRDefault="00475D59" w:rsidP="00475D59">
      <w:pPr>
        <w:spacing w:after="0" w:line="240" w:lineRule="auto"/>
      </w:pPr>
      <w:r>
        <w:separator/>
      </w:r>
    </w:p>
  </w:footnote>
  <w:footnote w:type="continuationSeparator" w:id="0">
    <w:p w:rsidR="00475D59" w:rsidRDefault="00475D59" w:rsidP="00475D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75D59" w:rsidRPr="00475D59" w:rsidRDefault="00475D59">
    <w:pPr>
      <w:pStyle w:val="Nagwek"/>
      <w:rPr>
        <w:rFonts w:ascii="Times New Roman" w:hAnsi="Times New Roman" w:cs="Times New Roman"/>
      </w:rPr>
    </w:pPr>
    <w:r w:rsidRPr="00475D59">
      <w:rPr>
        <w:rFonts w:ascii="Times New Roman" w:hAnsi="Times New Roman" w:cs="Times New Roman"/>
      </w:rPr>
      <w:t xml:space="preserve">Znak sprawy: ZP/4/2021 </w:t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</w:r>
    <w:r w:rsidRPr="00475D59">
      <w:rPr>
        <w:rFonts w:ascii="Times New Roman" w:hAnsi="Times New Roman" w:cs="Times New Roman"/>
      </w:rPr>
      <w:tab/>
      <w:t>Załącznik nr 1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5D59"/>
    <w:rsid w:val="00112CCF"/>
    <w:rsid w:val="00187CBF"/>
    <w:rsid w:val="00475D59"/>
    <w:rsid w:val="004A0C79"/>
    <w:rsid w:val="004E472B"/>
    <w:rsid w:val="00922275"/>
    <w:rsid w:val="00CD6428"/>
    <w:rsid w:val="00D13085"/>
    <w:rsid w:val="00F13C77"/>
    <w:rsid w:val="00F5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087344"/>
  <w15:chartTrackingRefBased/>
  <w15:docId w15:val="{91F855AF-F2F2-4691-AB2F-BC7870344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75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75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75D59"/>
  </w:style>
  <w:style w:type="paragraph" w:styleId="Stopka">
    <w:name w:val="footer"/>
    <w:basedOn w:val="Normalny"/>
    <w:link w:val="StopkaZnak"/>
    <w:uiPriority w:val="99"/>
    <w:unhideWhenUsed/>
    <w:rsid w:val="00475D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5D59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2CC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2C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12C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2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2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93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2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7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3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3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992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Miłoś</cp:lastModifiedBy>
  <cp:revision>4</cp:revision>
  <dcterms:created xsi:type="dcterms:W3CDTF">2021-02-24T13:32:00Z</dcterms:created>
  <dcterms:modified xsi:type="dcterms:W3CDTF">2021-03-05T10:16:00Z</dcterms:modified>
</cp:coreProperties>
</file>