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806" w:rsidRPr="00CA45BB" w:rsidRDefault="00544806" w:rsidP="00EA062C">
      <w:pPr>
        <w:tabs>
          <w:tab w:val="left" w:pos="1418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A45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D46B4D" w:rsidRPr="00CA45BB" w:rsidRDefault="00544806" w:rsidP="00EA062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A45B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     </w:t>
      </w:r>
    </w:p>
    <w:p w:rsidR="00B5566F" w:rsidRPr="00CA45BB" w:rsidRDefault="00B5566F" w:rsidP="00414DC8">
      <w:pPr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5BB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:rsidR="00544806" w:rsidRPr="00CA45BB" w:rsidRDefault="00544806" w:rsidP="00414DC8">
      <w:pPr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566F" w:rsidRPr="00CA45BB" w:rsidRDefault="00B5566F" w:rsidP="00B5566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F1FF5" w:rsidRPr="00AF1FF5" w:rsidRDefault="000B5235" w:rsidP="00AF1FF5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A45BB">
        <w:rPr>
          <w:rFonts w:ascii="Times New Roman" w:hAnsi="Times New Roman" w:cs="Times New Roman"/>
          <w:sz w:val="24"/>
          <w:szCs w:val="24"/>
          <w:u w:val="single"/>
        </w:rPr>
        <w:t xml:space="preserve">Przedmiot opinii technicznej </w:t>
      </w:r>
    </w:p>
    <w:p w:rsidR="00AF1FF5" w:rsidRDefault="00AF1FF5" w:rsidP="000A10C6">
      <w:pPr>
        <w:pStyle w:val="Akapitzlist"/>
        <w:spacing w:before="30" w:after="3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AF1FF5">
        <w:rPr>
          <w:rFonts w:ascii="Times New Roman" w:hAnsi="Times New Roman" w:cs="Times New Roman"/>
          <w:bCs/>
          <w:sz w:val="24"/>
          <w:szCs w:val="24"/>
        </w:rPr>
        <w:t>Przedmiotem zamówienia</w:t>
      </w:r>
      <w:r w:rsidRPr="00AF1FF5">
        <w:rPr>
          <w:rFonts w:ascii="Times New Roman" w:hAnsi="Times New Roman" w:cs="Times New Roman"/>
          <w:b/>
          <w:bCs/>
          <w:sz w:val="24"/>
          <w:szCs w:val="24"/>
        </w:rPr>
        <w:t xml:space="preserve"> „</w:t>
      </w:r>
      <w:r w:rsidRPr="00AF1FF5">
        <w:rPr>
          <w:rFonts w:ascii="Times New Roman" w:hAnsi="Times New Roman" w:cs="Times New Roman"/>
          <w:sz w:val="24"/>
          <w:szCs w:val="24"/>
        </w:rPr>
        <w:t xml:space="preserve">Opinia techniczna dot. możliwości i warunków technicznych zabudowy  analizatora sorpcji gazów z uwzględnieniem obowiązujących przepisów, w tym wymagań dyrektywy1999/92 ATEX137 i 1994/9EC ATEX 100a w istniejącym pomieszczeniu laboratoryjnym nr 65 przy ul. Dąbrowskiego” 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11D4C" w:rsidRPr="00AF1FF5" w:rsidRDefault="00AF1FF5" w:rsidP="000A10C6">
      <w:pPr>
        <w:pStyle w:val="Akapitzlist"/>
        <w:spacing w:before="30" w:after="3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0A10C6" w:rsidRPr="00AF1FF5">
        <w:rPr>
          <w:rFonts w:ascii="Times New Roman" w:hAnsi="Times New Roman" w:cs="Times New Roman"/>
          <w:sz w:val="24"/>
          <w:szCs w:val="24"/>
        </w:rPr>
        <w:t>omieszczeniu laboratoryjn</w:t>
      </w:r>
      <w:r>
        <w:rPr>
          <w:rFonts w:ascii="Times New Roman" w:hAnsi="Times New Roman" w:cs="Times New Roman"/>
          <w:sz w:val="24"/>
          <w:szCs w:val="24"/>
        </w:rPr>
        <w:t>e</w:t>
      </w:r>
      <w:r w:rsidR="00E11D4C" w:rsidRPr="00AF1FF5">
        <w:rPr>
          <w:rFonts w:ascii="Times New Roman" w:hAnsi="Times New Roman" w:cs="Times New Roman"/>
          <w:sz w:val="24"/>
          <w:szCs w:val="24"/>
        </w:rPr>
        <w:t xml:space="preserve"> </w:t>
      </w:r>
      <w:r w:rsidR="00F73BCC" w:rsidRPr="00AF1FF5">
        <w:rPr>
          <w:rFonts w:ascii="Times New Roman" w:hAnsi="Times New Roman" w:cs="Times New Roman"/>
          <w:sz w:val="24"/>
          <w:szCs w:val="24"/>
        </w:rPr>
        <w:t>nr 65 zlokalizow</w:t>
      </w:r>
      <w:r>
        <w:rPr>
          <w:rFonts w:ascii="Times New Roman" w:hAnsi="Times New Roman" w:cs="Times New Roman"/>
          <w:sz w:val="24"/>
          <w:szCs w:val="24"/>
        </w:rPr>
        <w:t xml:space="preserve">ane jest </w:t>
      </w:r>
      <w:r w:rsidR="00F73BCC" w:rsidRPr="00AF1FF5">
        <w:rPr>
          <w:rFonts w:ascii="Times New Roman" w:hAnsi="Times New Roman" w:cs="Times New Roman"/>
          <w:sz w:val="24"/>
          <w:szCs w:val="24"/>
        </w:rPr>
        <w:t xml:space="preserve"> w budynku Katedry Ogrzewnictwa i Ochrony Atmosfery Wydziału Inżynierii i Ochrony Środowiska przy ul. Dąbrowskiego</w:t>
      </w:r>
      <w:r>
        <w:rPr>
          <w:rFonts w:ascii="Times New Roman" w:hAnsi="Times New Roman" w:cs="Times New Roman"/>
          <w:sz w:val="24"/>
          <w:szCs w:val="24"/>
        </w:rPr>
        <w:t>.</w:t>
      </w:r>
      <w:r w:rsidR="00F73BCC" w:rsidRPr="00AF1F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1D4C" w:rsidRPr="00CA45BB" w:rsidRDefault="000B5235" w:rsidP="00115FAD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  <w:u w:val="single"/>
        </w:rPr>
        <w:t>Zakres opinii technicznej</w:t>
      </w:r>
      <w:r w:rsidR="00E11D4C" w:rsidRPr="00CA45B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11D4C" w:rsidRPr="006F0555" w:rsidRDefault="00E11D4C" w:rsidP="006F0555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555">
        <w:rPr>
          <w:rFonts w:ascii="Times New Roman" w:hAnsi="Times New Roman" w:cs="Times New Roman"/>
          <w:sz w:val="24"/>
          <w:szCs w:val="24"/>
        </w:rPr>
        <w:t>wizje lokalne w terenie,</w:t>
      </w:r>
    </w:p>
    <w:p w:rsidR="00E11D4C" w:rsidRPr="006F0555" w:rsidRDefault="00E11D4C" w:rsidP="006F0555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555">
        <w:rPr>
          <w:rFonts w:ascii="Times New Roman" w:hAnsi="Times New Roman" w:cs="Times New Roman"/>
          <w:sz w:val="24"/>
          <w:szCs w:val="24"/>
        </w:rPr>
        <w:t>wykonanie dokumentacji fotograficznej,</w:t>
      </w:r>
    </w:p>
    <w:p w:rsidR="00E11D4C" w:rsidRDefault="00CA45BB" w:rsidP="006F0555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555">
        <w:rPr>
          <w:rFonts w:ascii="Times New Roman" w:hAnsi="Times New Roman" w:cs="Times New Roman"/>
          <w:sz w:val="24"/>
          <w:szCs w:val="24"/>
        </w:rPr>
        <w:t>analiza</w:t>
      </w:r>
      <w:r w:rsidR="00E11D4C" w:rsidRPr="006F0555">
        <w:rPr>
          <w:rFonts w:ascii="Times New Roman" w:hAnsi="Times New Roman" w:cs="Times New Roman"/>
          <w:sz w:val="24"/>
          <w:szCs w:val="24"/>
        </w:rPr>
        <w:t xml:space="preserve"> możliwości i sposobu</w:t>
      </w:r>
      <w:r w:rsidR="008E0BF6" w:rsidRPr="006F0555">
        <w:rPr>
          <w:rFonts w:ascii="Times New Roman" w:hAnsi="Times New Roman" w:cs="Times New Roman"/>
          <w:sz w:val="24"/>
          <w:szCs w:val="24"/>
        </w:rPr>
        <w:t xml:space="preserve"> przystosowania pomieszczenia laboratorium nr 65 na </w:t>
      </w:r>
      <w:r w:rsidRPr="006F0555">
        <w:rPr>
          <w:rFonts w:ascii="Times New Roman" w:hAnsi="Times New Roman" w:cs="Times New Roman"/>
          <w:sz w:val="24"/>
          <w:szCs w:val="24"/>
        </w:rPr>
        <w:t xml:space="preserve">   </w:t>
      </w:r>
      <w:r w:rsidR="00442569" w:rsidRPr="006F0555">
        <w:rPr>
          <w:rFonts w:ascii="Times New Roman" w:hAnsi="Times New Roman" w:cs="Times New Roman"/>
          <w:sz w:val="24"/>
          <w:szCs w:val="24"/>
        </w:rPr>
        <w:t xml:space="preserve">laboratorium </w:t>
      </w:r>
      <w:r w:rsidR="008E0BF6" w:rsidRPr="006F0555">
        <w:rPr>
          <w:rFonts w:ascii="Times New Roman" w:hAnsi="Times New Roman" w:cs="Times New Roman"/>
          <w:sz w:val="24"/>
          <w:szCs w:val="24"/>
        </w:rPr>
        <w:t xml:space="preserve"> analizatora sorpcji XEMIS</w:t>
      </w:r>
      <w:r w:rsidR="006F0555" w:rsidRPr="006F0555">
        <w:rPr>
          <w:rFonts w:ascii="Times New Roman" w:hAnsi="Times New Roman" w:cs="Times New Roman"/>
          <w:sz w:val="24"/>
          <w:szCs w:val="24"/>
        </w:rPr>
        <w:t>,</w:t>
      </w:r>
    </w:p>
    <w:p w:rsidR="006F0555" w:rsidRDefault="006F0555" w:rsidP="006F0555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ewentualne prace odkrywkowe,</w:t>
      </w:r>
    </w:p>
    <w:p w:rsidR="00E11D4C" w:rsidRPr="006F0555" w:rsidRDefault="00CA45BB" w:rsidP="006F0555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0555">
        <w:rPr>
          <w:rFonts w:ascii="Times New Roman" w:hAnsi="Times New Roman" w:cs="Times New Roman"/>
          <w:sz w:val="24"/>
          <w:szCs w:val="24"/>
        </w:rPr>
        <w:t>wnioski i zalecenia</w:t>
      </w:r>
      <w:r w:rsidR="00E11D4C" w:rsidRPr="006F0555">
        <w:rPr>
          <w:rFonts w:ascii="Times New Roman" w:hAnsi="Times New Roman" w:cs="Times New Roman"/>
          <w:sz w:val="24"/>
          <w:szCs w:val="24"/>
        </w:rPr>
        <w:t>.</w:t>
      </w:r>
    </w:p>
    <w:p w:rsidR="00F73BCC" w:rsidRPr="00CA45BB" w:rsidRDefault="000B5235" w:rsidP="00B43380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A45BB">
        <w:rPr>
          <w:rFonts w:ascii="Times New Roman" w:hAnsi="Times New Roman" w:cs="Times New Roman"/>
          <w:sz w:val="24"/>
          <w:szCs w:val="24"/>
          <w:u w:val="single"/>
        </w:rPr>
        <w:t>Cel opinii technicznej :</w:t>
      </w:r>
    </w:p>
    <w:p w:rsidR="00F8572D" w:rsidRDefault="00E11D4C" w:rsidP="00E11D4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Celem opin</w:t>
      </w:r>
      <w:r w:rsidR="00F73BCC" w:rsidRPr="00CA45BB">
        <w:rPr>
          <w:rFonts w:ascii="Times New Roman" w:hAnsi="Times New Roman" w:cs="Times New Roman"/>
          <w:sz w:val="24"/>
          <w:szCs w:val="24"/>
        </w:rPr>
        <w:t xml:space="preserve">ii jest określenie warunków jakie musi spełnić </w:t>
      </w:r>
      <w:r w:rsidR="00EE23D6" w:rsidRPr="00CA45BB">
        <w:rPr>
          <w:rFonts w:ascii="Times New Roman" w:hAnsi="Times New Roman" w:cs="Times New Roman"/>
          <w:sz w:val="24"/>
          <w:szCs w:val="24"/>
        </w:rPr>
        <w:t>pomieszczeni</w:t>
      </w:r>
      <w:r w:rsidR="00F73BCC" w:rsidRPr="00CA45BB">
        <w:rPr>
          <w:rFonts w:ascii="Times New Roman" w:hAnsi="Times New Roman" w:cs="Times New Roman"/>
          <w:sz w:val="24"/>
          <w:szCs w:val="24"/>
        </w:rPr>
        <w:t>e laboratoryjne</w:t>
      </w:r>
      <w:r w:rsidR="00EE23D6" w:rsidRPr="00CA45BB">
        <w:rPr>
          <w:rFonts w:ascii="Times New Roman" w:hAnsi="Times New Roman" w:cs="Times New Roman"/>
          <w:sz w:val="24"/>
          <w:szCs w:val="24"/>
        </w:rPr>
        <w:t xml:space="preserve"> nr 65 zlokalizowane w budynku Katedry Ogrzewnictwa i Ochrony Atmosfery Wydziału Inżynierii i Ochrony Środowiska przy ul. Dąbrowskiego do montażu specjalistycznej aparatury badawczej – wysokociśnienio</w:t>
      </w:r>
      <w:r w:rsidR="00B43380" w:rsidRPr="00CA45BB">
        <w:rPr>
          <w:rFonts w:ascii="Times New Roman" w:hAnsi="Times New Roman" w:cs="Times New Roman"/>
          <w:sz w:val="24"/>
          <w:szCs w:val="24"/>
        </w:rPr>
        <w:t xml:space="preserve">wego </w:t>
      </w:r>
      <w:r w:rsidR="00F8572D" w:rsidRPr="00CA45BB">
        <w:rPr>
          <w:rFonts w:ascii="Times New Roman" w:hAnsi="Times New Roman" w:cs="Times New Roman"/>
          <w:sz w:val="24"/>
          <w:szCs w:val="24"/>
        </w:rPr>
        <w:t>analizatora sorpcji gazów XEMIS, a zwłaszcza wymogów dla :</w:t>
      </w:r>
    </w:p>
    <w:p w:rsidR="00D661E4" w:rsidRDefault="00D661E4" w:rsidP="00D661E4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Konstrukcji budowlanej,</w:t>
      </w:r>
    </w:p>
    <w:p w:rsidR="00D661E4" w:rsidRDefault="00073BF0" w:rsidP="00D661E4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Instalacji technicznych i technologicznych,</w:t>
      </w:r>
    </w:p>
    <w:p w:rsidR="00F8572D" w:rsidRPr="00073BF0" w:rsidRDefault="00073BF0" w:rsidP="00E11D4C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3BF0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>tym wymagań dla</w:t>
      </w:r>
      <w:r w:rsidRPr="00073BF0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8572D" w:rsidRPr="00073BF0">
        <w:rPr>
          <w:rFonts w:ascii="Times New Roman" w:hAnsi="Times New Roman" w:cs="Times New Roman"/>
          <w:sz w:val="24"/>
          <w:szCs w:val="24"/>
        </w:rPr>
        <w:t>podłóg, ścian, sufitów, wentylacji, oświetlenia światłem dziennym i sztucznym, gniazd wtykowych, inst. połączeń wyrównawczych, uziemienia, wentylacji mechanicznej ogólnej i stanowiskowej, wody zimnej i ciepłej, kanalizacji sanitarnej lub technologicznej, instalacji gazów – azotu i gazu roboczego</w:t>
      </w:r>
    </w:p>
    <w:p w:rsidR="001232BE" w:rsidRPr="00CA45BB" w:rsidRDefault="000B5235" w:rsidP="005A5BAC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  <w:u w:val="single"/>
        </w:rPr>
        <w:t xml:space="preserve">Zasadnicze wymagania dla  </w:t>
      </w:r>
      <w:r w:rsidR="001232BE" w:rsidRPr="00CA45BB">
        <w:rPr>
          <w:rFonts w:ascii="Times New Roman" w:hAnsi="Times New Roman" w:cs="Times New Roman"/>
          <w:sz w:val="24"/>
          <w:szCs w:val="24"/>
          <w:u w:val="single"/>
        </w:rPr>
        <w:t>opinii technicznej</w:t>
      </w:r>
    </w:p>
    <w:p w:rsidR="00B43380" w:rsidRPr="00CA45BB" w:rsidRDefault="00B43380" w:rsidP="00B433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 xml:space="preserve">Opinia techniczna musi być wykonana przez osoby posiadające właściwe uprawnienia projektowe o odpowiedniej specjalności. </w:t>
      </w:r>
    </w:p>
    <w:p w:rsidR="00B5566F" w:rsidRPr="00CA45BB" w:rsidRDefault="00B5566F" w:rsidP="00B5566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lastRenderedPageBreak/>
        <w:t xml:space="preserve">Przedmiotowa </w:t>
      </w:r>
      <w:r w:rsidR="00B43380" w:rsidRPr="00CA45BB">
        <w:rPr>
          <w:rFonts w:ascii="Times New Roman" w:hAnsi="Times New Roman" w:cs="Times New Roman"/>
          <w:sz w:val="24"/>
          <w:szCs w:val="24"/>
        </w:rPr>
        <w:t>opinia techniczna</w:t>
      </w:r>
      <w:r w:rsidRPr="00CA45BB">
        <w:rPr>
          <w:rFonts w:ascii="Times New Roman" w:hAnsi="Times New Roman" w:cs="Times New Roman"/>
          <w:sz w:val="24"/>
          <w:szCs w:val="24"/>
        </w:rPr>
        <w:t xml:space="preserve"> winna być zgodna z zasadami wiedzy technicznej i obowiązującymi przepisami w tym m.in. z :</w:t>
      </w:r>
    </w:p>
    <w:p w:rsidR="00B5566F" w:rsidRPr="00CA45BB" w:rsidRDefault="00AA50E9" w:rsidP="001232BE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Ustawą „Prawo budowlane</w:t>
      </w:r>
      <w:r w:rsidRPr="00057BC3">
        <w:rPr>
          <w:rFonts w:ascii="Times New Roman" w:hAnsi="Times New Roman" w:cs="Times New Roman"/>
          <w:sz w:val="24"/>
          <w:szCs w:val="24"/>
        </w:rPr>
        <w:t>”</w:t>
      </w:r>
      <w:r w:rsidR="00B5566F" w:rsidRPr="00057BC3">
        <w:rPr>
          <w:rFonts w:ascii="Times New Roman" w:hAnsi="Times New Roman" w:cs="Times New Roman"/>
          <w:sz w:val="24"/>
          <w:szCs w:val="24"/>
        </w:rPr>
        <w:t xml:space="preserve"> </w:t>
      </w:r>
      <w:r w:rsidR="00057BC3">
        <w:rPr>
          <w:rFonts w:ascii="Times New Roman" w:hAnsi="Times New Roman" w:cs="Times New Roman"/>
          <w:sz w:val="24"/>
          <w:szCs w:val="24"/>
        </w:rPr>
        <w:t>DU 2020 poz. 1333</w:t>
      </w:r>
      <w:r w:rsidR="00073BF0">
        <w:rPr>
          <w:rFonts w:ascii="Times New Roman" w:hAnsi="Times New Roman" w:cs="Times New Roman"/>
          <w:sz w:val="24"/>
          <w:szCs w:val="24"/>
        </w:rPr>
        <w:t>,</w:t>
      </w:r>
    </w:p>
    <w:p w:rsidR="00B5566F" w:rsidRPr="00CA45BB" w:rsidRDefault="00FB5183" w:rsidP="001232BE">
      <w:pPr>
        <w:pStyle w:val="Akapitzlist"/>
        <w:numPr>
          <w:ilvl w:val="0"/>
          <w:numId w:val="21"/>
        </w:numPr>
        <w:spacing w:before="30" w:after="30" w:line="360" w:lineRule="auto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Rozporządzeniem</w:t>
      </w:r>
      <w:r w:rsidR="00B5566F" w:rsidRPr="00CA45BB">
        <w:rPr>
          <w:rFonts w:ascii="Times New Roman" w:hAnsi="Times New Roman" w:cs="Times New Roman"/>
          <w:sz w:val="24"/>
          <w:szCs w:val="24"/>
        </w:rPr>
        <w:t xml:space="preserve"> Ministra Infrastruktury z dn. 12.04.2002 r. w sprawie warunków technicznych jakim powinny odpowiadać budynki i ich usytuowanie z późniejszymi zmianami</w:t>
      </w:r>
      <w:r w:rsidR="00073BF0">
        <w:rPr>
          <w:rFonts w:ascii="Times New Roman" w:hAnsi="Times New Roman" w:cs="Times New Roman"/>
          <w:sz w:val="24"/>
          <w:szCs w:val="24"/>
        </w:rPr>
        <w:t>,</w:t>
      </w:r>
    </w:p>
    <w:p w:rsidR="00484AAE" w:rsidRPr="00CA45BB" w:rsidRDefault="00D46B4D" w:rsidP="001232BE">
      <w:pPr>
        <w:pStyle w:val="Akapitzlist"/>
        <w:numPr>
          <w:ilvl w:val="0"/>
          <w:numId w:val="21"/>
        </w:numPr>
        <w:spacing w:before="30" w:after="30" w:line="360" w:lineRule="auto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Dyrektywą</w:t>
      </w:r>
      <w:r w:rsidR="00DE6831" w:rsidRPr="00CA45BB">
        <w:rPr>
          <w:rFonts w:ascii="Times New Roman" w:hAnsi="Times New Roman" w:cs="Times New Roman"/>
          <w:sz w:val="24"/>
          <w:szCs w:val="24"/>
        </w:rPr>
        <w:t xml:space="preserve"> ATEX „Bezpieczeństwo pra</w:t>
      </w:r>
      <w:r w:rsidR="00104E3B" w:rsidRPr="00CA45BB">
        <w:rPr>
          <w:rFonts w:ascii="Times New Roman" w:hAnsi="Times New Roman" w:cs="Times New Roman"/>
          <w:sz w:val="24"/>
          <w:szCs w:val="24"/>
        </w:rPr>
        <w:t>cowników” (1999/92 WE ATEX 137)</w:t>
      </w:r>
      <w:r w:rsidR="00073BF0">
        <w:rPr>
          <w:rFonts w:ascii="Times New Roman" w:hAnsi="Times New Roman" w:cs="Times New Roman"/>
          <w:sz w:val="24"/>
          <w:szCs w:val="24"/>
        </w:rPr>
        <w:t>,</w:t>
      </w:r>
    </w:p>
    <w:p w:rsidR="00DE6831" w:rsidRDefault="00D46B4D" w:rsidP="001232BE">
      <w:pPr>
        <w:pStyle w:val="Akapitzlist"/>
        <w:numPr>
          <w:ilvl w:val="0"/>
          <w:numId w:val="21"/>
        </w:numPr>
        <w:spacing w:before="30" w:after="30" w:line="360" w:lineRule="auto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Dyrektywą</w:t>
      </w:r>
      <w:r w:rsidR="00484AAE" w:rsidRPr="00CA45BB">
        <w:rPr>
          <w:rFonts w:ascii="Times New Roman" w:hAnsi="Times New Roman" w:cs="Times New Roman"/>
          <w:sz w:val="24"/>
          <w:szCs w:val="24"/>
        </w:rPr>
        <w:t xml:space="preserve"> ATEX „Wyposażenie” (1994 / 9EC ATEX 100a)</w:t>
      </w:r>
      <w:r w:rsidR="00073BF0">
        <w:rPr>
          <w:rFonts w:ascii="Times New Roman" w:hAnsi="Times New Roman" w:cs="Times New Roman"/>
          <w:sz w:val="24"/>
          <w:szCs w:val="24"/>
        </w:rPr>
        <w:t>.</w:t>
      </w:r>
    </w:p>
    <w:p w:rsidR="00073BF0" w:rsidRPr="00073BF0" w:rsidRDefault="00073BF0" w:rsidP="00073BF0">
      <w:pPr>
        <w:spacing w:before="30" w:after="3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Opinia techniczna winna  być zaopiniowana przez  rzeczoznawcę ds. zabezpieczeń przeciwpożarowych oraz ds. </w:t>
      </w:r>
      <w:proofErr w:type="spellStart"/>
      <w:r>
        <w:rPr>
          <w:rFonts w:ascii="Times New Roman" w:hAnsi="Times New Roman" w:cs="Times New Roman"/>
          <w:sz w:val="24"/>
          <w:szCs w:val="24"/>
        </w:rPr>
        <w:t>higieniczno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sanitarnych.</w:t>
      </w:r>
    </w:p>
    <w:p w:rsidR="00484AAE" w:rsidRPr="00CA45BB" w:rsidRDefault="00484AAE" w:rsidP="00484AAE">
      <w:pPr>
        <w:spacing w:before="30" w:after="30"/>
        <w:rPr>
          <w:rFonts w:ascii="Times New Roman" w:hAnsi="Times New Roman" w:cs="Times New Roman"/>
          <w:sz w:val="24"/>
          <w:szCs w:val="24"/>
        </w:rPr>
      </w:pPr>
    </w:p>
    <w:p w:rsidR="00F91769" w:rsidRPr="00CA45BB" w:rsidRDefault="00BF6296" w:rsidP="00073BF0">
      <w:pPr>
        <w:pStyle w:val="Akapitzlist"/>
        <w:spacing w:before="30" w:after="3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 xml:space="preserve">Opinia techniczna </w:t>
      </w:r>
      <w:r w:rsidR="00B5566F" w:rsidRPr="00CA45BB">
        <w:rPr>
          <w:rFonts w:ascii="Times New Roman" w:hAnsi="Times New Roman" w:cs="Times New Roman"/>
          <w:sz w:val="24"/>
          <w:szCs w:val="24"/>
        </w:rPr>
        <w:t xml:space="preserve">będzie stanowiła </w:t>
      </w:r>
      <w:r w:rsidRPr="00CA45BB">
        <w:rPr>
          <w:rFonts w:ascii="Times New Roman" w:hAnsi="Times New Roman" w:cs="Times New Roman"/>
          <w:sz w:val="24"/>
          <w:szCs w:val="24"/>
        </w:rPr>
        <w:t xml:space="preserve">podstawę do opisu </w:t>
      </w:r>
      <w:r w:rsidR="00B5566F" w:rsidRPr="00CA45BB">
        <w:rPr>
          <w:rFonts w:ascii="Times New Roman" w:hAnsi="Times New Roman" w:cs="Times New Roman"/>
          <w:sz w:val="24"/>
          <w:szCs w:val="24"/>
        </w:rPr>
        <w:t>przedmiotu zamówienia w postępowani</w:t>
      </w:r>
      <w:r w:rsidRPr="00CA45BB">
        <w:rPr>
          <w:rFonts w:ascii="Times New Roman" w:hAnsi="Times New Roman" w:cs="Times New Roman"/>
          <w:sz w:val="24"/>
          <w:szCs w:val="24"/>
        </w:rPr>
        <w:t>u przetargowym</w:t>
      </w:r>
      <w:r w:rsidR="00D46B4D" w:rsidRPr="00CA45BB">
        <w:rPr>
          <w:rFonts w:ascii="Times New Roman" w:hAnsi="Times New Roman" w:cs="Times New Roman"/>
          <w:sz w:val="24"/>
          <w:szCs w:val="24"/>
        </w:rPr>
        <w:t>, które będzie</w:t>
      </w:r>
      <w:r w:rsidR="00B5566F" w:rsidRPr="00CA45BB">
        <w:rPr>
          <w:rFonts w:ascii="Times New Roman" w:hAnsi="Times New Roman" w:cs="Times New Roman"/>
          <w:sz w:val="24"/>
          <w:szCs w:val="24"/>
        </w:rPr>
        <w:t xml:space="preserve"> prowadzone w celu wyboru Wykonawcy </w:t>
      </w:r>
      <w:r w:rsidRPr="00CA45BB">
        <w:rPr>
          <w:rFonts w:ascii="Times New Roman" w:hAnsi="Times New Roman" w:cs="Times New Roman"/>
          <w:sz w:val="24"/>
          <w:szCs w:val="24"/>
        </w:rPr>
        <w:t xml:space="preserve">projektu budowlanego </w:t>
      </w:r>
      <w:r w:rsidR="00B5566F" w:rsidRPr="00CA45BB">
        <w:rPr>
          <w:rFonts w:ascii="Times New Roman" w:hAnsi="Times New Roman" w:cs="Times New Roman"/>
          <w:sz w:val="24"/>
          <w:szCs w:val="24"/>
        </w:rPr>
        <w:t>zgodnie z przepisami Usta</w:t>
      </w:r>
      <w:r w:rsidR="00F91769" w:rsidRPr="00CA45BB">
        <w:rPr>
          <w:rFonts w:ascii="Times New Roman" w:hAnsi="Times New Roman" w:cs="Times New Roman"/>
          <w:sz w:val="24"/>
          <w:szCs w:val="24"/>
        </w:rPr>
        <w:t xml:space="preserve">wy „Prawo Zamówień Publicznych </w:t>
      </w:r>
      <w:proofErr w:type="spellStart"/>
      <w:r w:rsidR="00F91769" w:rsidRPr="00CA45BB">
        <w:rPr>
          <w:rFonts w:ascii="Times New Roman" w:hAnsi="Times New Roman" w:cs="Times New Roman"/>
          <w:sz w:val="24"/>
          <w:szCs w:val="24"/>
        </w:rPr>
        <w:t>pn</w:t>
      </w:r>
      <w:proofErr w:type="spellEnd"/>
      <w:r w:rsidR="00F91769" w:rsidRPr="00CA45BB">
        <w:rPr>
          <w:rFonts w:ascii="Times New Roman" w:hAnsi="Times New Roman" w:cs="Times New Roman"/>
          <w:sz w:val="24"/>
          <w:szCs w:val="24"/>
        </w:rPr>
        <w:t xml:space="preserve">:” Opracowanie wielobranżowej dokumentacji projektowo- kosztorysowej z przedmiarami robót, specyfikacjami technicznymi wykonania i odbioru robót budowlanych  dla zadania: </w:t>
      </w:r>
      <w:r w:rsidR="00CA45BB">
        <w:rPr>
          <w:rFonts w:ascii="Times New Roman" w:hAnsi="Times New Roman" w:cs="Times New Roman"/>
          <w:sz w:val="24"/>
          <w:szCs w:val="24"/>
        </w:rPr>
        <w:t>„</w:t>
      </w:r>
      <w:r w:rsidR="00F91769" w:rsidRPr="00CA45BB">
        <w:rPr>
          <w:rFonts w:ascii="Times New Roman" w:hAnsi="Times New Roman" w:cs="Times New Roman"/>
          <w:sz w:val="24"/>
          <w:szCs w:val="24"/>
        </w:rPr>
        <w:t xml:space="preserve">Przystosowanie pomieszczenia laboratoryjnego nr 65 zlokalizowanego w budynku Katedry Ogrzewnictwa i Ochrony Atmosfery Wydziału Inżynierii i Ochrony Środowiska przy ul. Dąbrowskiego do montażu specjalistycznej aparatury badawczej – wysokociśnieniowego analizatora sorpcji gazów” </w:t>
      </w:r>
    </w:p>
    <w:p w:rsidR="00B5566F" w:rsidRPr="00CA45BB" w:rsidRDefault="00B5566F" w:rsidP="00F91769">
      <w:pPr>
        <w:pStyle w:val="Default"/>
        <w:rPr>
          <w:b/>
          <w:color w:val="auto"/>
        </w:rPr>
      </w:pPr>
    </w:p>
    <w:p w:rsidR="00B5566F" w:rsidRPr="00CA45BB" w:rsidRDefault="00B5566F" w:rsidP="00161ED9">
      <w:pPr>
        <w:pStyle w:val="Default"/>
        <w:numPr>
          <w:ilvl w:val="0"/>
          <w:numId w:val="20"/>
        </w:numPr>
        <w:rPr>
          <w:color w:val="auto"/>
          <w:u w:val="single"/>
        </w:rPr>
      </w:pPr>
      <w:r w:rsidRPr="00CA45BB">
        <w:rPr>
          <w:color w:val="auto"/>
          <w:u w:val="single"/>
        </w:rPr>
        <w:t xml:space="preserve">Charakterystyka budynku </w:t>
      </w:r>
    </w:p>
    <w:p w:rsidR="00E354E7" w:rsidRPr="00CA45BB" w:rsidRDefault="00E354E7" w:rsidP="00B5566F">
      <w:pPr>
        <w:pStyle w:val="Default"/>
        <w:ind w:left="720"/>
        <w:rPr>
          <w:color w:val="auto"/>
        </w:rPr>
      </w:pPr>
    </w:p>
    <w:p w:rsidR="00E354E7" w:rsidRPr="00CA45BB" w:rsidRDefault="00E354E7" w:rsidP="00CA45BB">
      <w:pPr>
        <w:pStyle w:val="Default"/>
        <w:spacing w:line="360" w:lineRule="auto"/>
        <w:jc w:val="both"/>
        <w:rPr>
          <w:color w:val="auto"/>
        </w:rPr>
      </w:pPr>
      <w:r w:rsidRPr="00CA45BB">
        <w:rPr>
          <w:color w:val="auto"/>
        </w:rPr>
        <w:t>Opis budynku</w:t>
      </w:r>
      <w:r w:rsidR="00016FEC" w:rsidRPr="00CA45BB">
        <w:rPr>
          <w:color w:val="auto"/>
        </w:rPr>
        <w:t xml:space="preserve"> </w:t>
      </w:r>
      <w:r w:rsidR="00016FEC" w:rsidRPr="00CA45BB">
        <w:t>Katedry Ogrzewnictwa i Ochrony Atmosfery Wydziału Inżynierii i Ochrony Środowiska przy ul. Dąbrowskiego</w:t>
      </w:r>
    </w:p>
    <w:p w:rsidR="00E354E7" w:rsidRPr="00CA45BB" w:rsidRDefault="00E354E7" w:rsidP="000B5235">
      <w:pPr>
        <w:pStyle w:val="Default"/>
        <w:spacing w:line="360" w:lineRule="auto"/>
        <w:rPr>
          <w:color w:val="auto"/>
        </w:rPr>
      </w:pPr>
    </w:p>
    <w:p w:rsidR="00E354E7" w:rsidRPr="00CA45BB" w:rsidRDefault="00E354E7" w:rsidP="000B5235">
      <w:pPr>
        <w:pStyle w:val="Default"/>
        <w:spacing w:line="360" w:lineRule="auto"/>
        <w:jc w:val="both"/>
        <w:rPr>
          <w:color w:val="auto"/>
        </w:rPr>
      </w:pPr>
      <w:r w:rsidRPr="00CA45BB">
        <w:rPr>
          <w:color w:val="auto"/>
        </w:rPr>
        <w:t>Budynek parterowy, podpiwniczony, z nieużytkowym poddaszem. Do budynku prowadzą trzy wejścia – dwa do piwnicy i jedno na parter.</w:t>
      </w:r>
    </w:p>
    <w:p w:rsidR="00E354E7" w:rsidRPr="00CA45BB" w:rsidRDefault="00E354E7" w:rsidP="000B5235">
      <w:pPr>
        <w:pStyle w:val="Default"/>
        <w:spacing w:line="360" w:lineRule="auto"/>
        <w:jc w:val="both"/>
        <w:rPr>
          <w:color w:val="auto"/>
        </w:rPr>
      </w:pPr>
      <w:r w:rsidRPr="00CA45BB">
        <w:rPr>
          <w:color w:val="auto"/>
        </w:rPr>
        <w:t xml:space="preserve">Budynek jest wykonany w konstrukcji tradycyjnej – ściany murowane z cegły, strop nad parterem odcinkowy na </w:t>
      </w:r>
      <w:r w:rsidR="00092E1A" w:rsidRPr="00CA45BB">
        <w:rPr>
          <w:color w:val="auto"/>
        </w:rPr>
        <w:t>belkach</w:t>
      </w:r>
      <w:r w:rsidRPr="00CA45BB">
        <w:rPr>
          <w:color w:val="auto"/>
        </w:rPr>
        <w:t xml:space="preserve"> stalowych, nad piwnicą żelbetowy, sc</w:t>
      </w:r>
      <w:r w:rsidR="00CA45BB">
        <w:rPr>
          <w:color w:val="auto"/>
        </w:rPr>
        <w:t>hody wewnętrzne żelbetowe. Dach</w:t>
      </w:r>
      <w:r w:rsidRPr="00CA45BB">
        <w:rPr>
          <w:color w:val="auto"/>
        </w:rPr>
        <w:t xml:space="preserve"> o konstrukcji drewnianej, okrycie z papy na deskowaniu, rynny i rury spustowe z blachy ocynkowanej</w:t>
      </w:r>
    </w:p>
    <w:p w:rsidR="00E354E7" w:rsidRPr="00CA45BB" w:rsidRDefault="00E354E7" w:rsidP="000B5235">
      <w:pPr>
        <w:pStyle w:val="Default"/>
        <w:spacing w:line="360" w:lineRule="auto"/>
        <w:jc w:val="both"/>
        <w:rPr>
          <w:color w:val="auto"/>
        </w:rPr>
      </w:pPr>
      <w:r w:rsidRPr="00CA45BB">
        <w:rPr>
          <w:color w:val="auto"/>
        </w:rPr>
        <w:t>Budynek jest wyposażony w instalację wodociągową, kanalizacyjną, elektryczną i telefoniczną.</w:t>
      </w:r>
    </w:p>
    <w:p w:rsidR="00E354E7" w:rsidRPr="00CA45BB" w:rsidRDefault="00E354E7" w:rsidP="00E354E7">
      <w:pPr>
        <w:pStyle w:val="Default"/>
        <w:rPr>
          <w:color w:val="auto"/>
        </w:rPr>
      </w:pPr>
    </w:p>
    <w:p w:rsidR="00B5566F" w:rsidRPr="00CA45BB" w:rsidRDefault="00B5566F" w:rsidP="00B5566F">
      <w:pPr>
        <w:pStyle w:val="Default"/>
        <w:spacing w:line="360" w:lineRule="auto"/>
        <w:jc w:val="both"/>
        <w:rPr>
          <w:color w:val="auto"/>
        </w:rPr>
      </w:pPr>
      <w:r w:rsidRPr="00CA45BB">
        <w:rPr>
          <w:color w:val="auto"/>
        </w:rPr>
        <w:t xml:space="preserve">Podstawowe dane budynku </w:t>
      </w:r>
    </w:p>
    <w:p w:rsidR="00B5566F" w:rsidRPr="00CA45BB" w:rsidRDefault="00B5566F" w:rsidP="00B5566F">
      <w:pPr>
        <w:pStyle w:val="Default"/>
        <w:spacing w:line="360" w:lineRule="auto"/>
        <w:jc w:val="both"/>
        <w:rPr>
          <w:color w:val="auto"/>
        </w:rPr>
      </w:pPr>
      <w:r w:rsidRPr="00CA45BB">
        <w:rPr>
          <w:color w:val="auto"/>
        </w:rPr>
        <w:lastRenderedPageBreak/>
        <w:t>- długość budynku</w:t>
      </w:r>
      <w:r w:rsidR="0010442B" w:rsidRPr="00CA45BB">
        <w:rPr>
          <w:color w:val="auto"/>
        </w:rPr>
        <w:t>:</w:t>
      </w:r>
      <w:r w:rsidRPr="00CA45BB">
        <w:rPr>
          <w:color w:val="auto"/>
        </w:rPr>
        <w:tab/>
      </w:r>
      <w:r w:rsidRPr="00CA45BB">
        <w:rPr>
          <w:color w:val="auto"/>
        </w:rPr>
        <w:tab/>
      </w:r>
      <w:r w:rsidR="0010442B" w:rsidRPr="00CA45BB">
        <w:rPr>
          <w:color w:val="auto"/>
        </w:rPr>
        <w:t xml:space="preserve">  </w:t>
      </w:r>
      <w:r w:rsidR="00C6039D" w:rsidRPr="00CA45BB">
        <w:rPr>
          <w:color w:val="auto"/>
        </w:rPr>
        <w:t>20,13 m</w:t>
      </w:r>
      <w:r w:rsidRPr="00CA45BB">
        <w:rPr>
          <w:color w:val="auto"/>
        </w:rPr>
        <w:tab/>
        <w:t xml:space="preserve">       </w:t>
      </w:r>
    </w:p>
    <w:p w:rsidR="00B5566F" w:rsidRPr="00CA45BB" w:rsidRDefault="00B5566F" w:rsidP="00B5566F">
      <w:pPr>
        <w:pStyle w:val="Default"/>
        <w:spacing w:line="360" w:lineRule="auto"/>
        <w:jc w:val="both"/>
        <w:rPr>
          <w:color w:val="auto"/>
        </w:rPr>
      </w:pPr>
      <w:r w:rsidRPr="00CA45BB">
        <w:rPr>
          <w:color w:val="auto"/>
        </w:rPr>
        <w:t>- szerokość budynku</w:t>
      </w:r>
      <w:r w:rsidR="0010442B" w:rsidRPr="00CA45BB">
        <w:rPr>
          <w:color w:val="auto"/>
        </w:rPr>
        <w:t>:</w:t>
      </w:r>
      <w:r w:rsidRPr="00CA45BB">
        <w:rPr>
          <w:color w:val="auto"/>
        </w:rPr>
        <w:t xml:space="preserve"> </w:t>
      </w:r>
      <w:r w:rsidRPr="00CA45BB">
        <w:rPr>
          <w:color w:val="auto"/>
        </w:rPr>
        <w:tab/>
      </w:r>
      <w:r w:rsidRPr="00CA45BB">
        <w:rPr>
          <w:color w:val="auto"/>
        </w:rPr>
        <w:tab/>
      </w:r>
      <w:r w:rsidR="0010442B" w:rsidRPr="00CA45BB">
        <w:rPr>
          <w:color w:val="auto"/>
        </w:rPr>
        <w:t xml:space="preserve">  </w:t>
      </w:r>
      <w:r w:rsidR="00A45FB9">
        <w:rPr>
          <w:color w:val="auto"/>
        </w:rPr>
        <w:t xml:space="preserve">  </w:t>
      </w:r>
      <w:r w:rsidR="00C6039D" w:rsidRPr="00CA45BB">
        <w:rPr>
          <w:color w:val="auto"/>
        </w:rPr>
        <w:t>9,90 m</w:t>
      </w:r>
      <w:r w:rsidRPr="00CA45BB">
        <w:rPr>
          <w:color w:val="auto"/>
        </w:rPr>
        <w:tab/>
        <w:t xml:space="preserve">       </w:t>
      </w:r>
    </w:p>
    <w:p w:rsidR="00B5566F" w:rsidRPr="00CA45BB" w:rsidRDefault="00B5566F" w:rsidP="00B5566F">
      <w:pPr>
        <w:pStyle w:val="Default"/>
        <w:spacing w:line="360" w:lineRule="auto"/>
        <w:jc w:val="both"/>
        <w:rPr>
          <w:color w:val="auto"/>
        </w:rPr>
      </w:pPr>
      <w:r w:rsidRPr="00CA45BB">
        <w:rPr>
          <w:color w:val="auto"/>
        </w:rPr>
        <w:t>- pow. zabudowy</w:t>
      </w:r>
      <w:r w:rsidR="0010442B" w:rsidRPr="00CA45BB">
        <w:rPr>
          <w:color w:val="auto"/>
        </w:rPr>
        <w:t>:</w:t>
      </w:r>
      <w:r w:rsidRPr="00CA45BB">
        <w:rPr>
          <w:color w:val="auto"/>
        </w:rPr>
        <w:tab/>
      </w:r>
      <w:r w:rsidRPr="00CA45BB">
        <w:rPr>
          <w:color w:val="auto"/>
        </w:rPr>
        <w:tab/>
      </w:r>
      <w:r w:rsidR="00A45FB9">
        <w:rPr>
          <w:color w:val="auto"/>
        </w:rPr>
        <w:t xml:space="preserve"> </w:t>
      </w:r>
      <w:r w:rsidR="00C6039D" w:rsidRPr="00CA45BB">
        <w:rPr>
          <w:color w:val="auto"/>
        </w:rPr>
        <w:t>199,3 m</w:t>
      </w:r>
      <w:r w:rsidR="00C6039D" w:rsidRPr="00CA45BB">
        <w:rPr>
          <w:color w:val="auto"/>
          <w:vertAlign w:val="superscript"/>
        </w:rPr>
        <w:t>2</w:t>
      </w:r>
      <w:r w:rsidRPr="00CA45BB">
        <w:rPr>
          <w:color w:val="auto"/>
        </w:rPr>
        <w:tab/>
        <w:t xml:space="preserve">     </w:t>
      </w:r>
    </w:p>
    <w:p w:rsidR="00B5566F" w:rsidRPr="00CA45BB" w:rsidRDefault="00B5566F" w:rsidP="00B5566F">
      <w:pPr>
        <w:pStyle w:val="Default"/>
        <w:spacing w:line="360" w:lineRule="auto"/>
        <w:jc w:val="both"/>
        <w:rPr>
          <w:color w:val="auto"/>
        </w:rPr>
      </w:pPr>
      <w:r w:rsidRPr="00CA45BB">
        <w:rPr>
          <w:color w:val="auto"/>
        </w:rPr>
        <w:t>- powierzchnia całkowita</w:t>
      </w:r>
      <w:r w:rsidR="0010442B" w:rsidRPr="00CA45BB">
        <w:rPr>
          <w:color w:val="auto"/>
        </w:rPr>
        <w:t>:</w:t>
      </w:r>
      <w:r w:rsidRPr="00CA45BB">
        <w:rPr>
          <w:color w:val="auto"/>
        </w:rPr>
        <w:tab/>
      </w:r>
      <w:r w:rsidR="0010442B" w:rsidRPr="00CA45BB">
        <w:rPr>
          <w:color w:val="auto"/>
        </w:rPr>
        <w:t xml:space="preserve"> 291,79 m</w:t>
      </w:r>
      <w:r w:rsidR="0010442B" w:rsidRPr="00CA45BB">
        <w:rPr>
          <w:color w:val="auto"/>
          <w:vertAlign w:val="superscript"/>
        </w:rPr>
        <w:t>2</w:t>
      </w:r>
      <w:r w:rsidRPr="00CA45BB">
        <w:rPr>
          <w:color w:val="auto"/>
        </w:rPr>
        <w:tab/>
      </w:r>
    </w:p>
    <w:p w:rsidR="00B5566F" w:rsidRPr="00CA45BB" w:rsidRDefault="00B5566F" w:rsidP="00B5566F">
      <w:pPr>
        <w:pStyle w:val="Default"/>
        <w:spacing w:line="360" w:lineRule="auto"/>
        <w:jc w:val="both"/>
        <w:rPr>
          <w:color w:val="auto"/>
        </w:rPr>
      </w:pPr>
      <w:r w:rsidRPr="00CA45BB">
        <w:rPr>
          <w:color w:val="auto"/>
        </w:rPr>
        <w:t xml:space="preserve">- powierzchnia </w:t>
      </w:r>
      <w:r w:rsidR="00C6039D" w:rsidRPr="00CA45BB">
        <w:rPr>
          <w:color w:val="auto"/>
        </w:rPr>
        <w:t>piwnicy</w:t>
      </w:r>
      <w:r w:rsidR="0010442B" w:rsidRPr="00CA45BB">
        <w:rPr>
          <w:color w:val="auto"/>
        </w:rPr>
        <w:t>:</w:t>
      </w:r>
      <w:r w:rsidRPr="00CA45BB">
        <w:rPr>
          <w:color w:val="auto"/>
        </w:rPr>
        <w:tab/>
        <w:t xml:space="preserve"> </w:t>
      </w:r>
      <w:r w:rsidR="0010442B" w:rsidRPr="00CA45BB">
        <w:rPr>
          <w:color w:val="auto"/>
        </w:rPr>
        <w:t xml:space="preserve"> </w:t>
      </w:r>
      <w:r w:rsidR="00C6039D" w:rsidRPr="00CA45BB">
        <w:rPr>
          <w:color w:val="auto"/>
        </w:rPr>
        <w:t>144,49 m</w:t>
      </w:r>
      <w:r w:rsidR="00C6039D" w:rsidRPr="00CA45BB">
        <w:rPr>
          <w:color w:val="auto"/>
          <w:vertAlign w:val="superscript"/>
        </w:rPr>
        <w:t>2</w:t>
      </w:r>
      <w:r w:rsidRPr="00CA45BB">
        <w:rPr>
          <w:color w:val="auto"/>
        </w:rPr>
        <w:t xml:space="preserve">     </w:t>
      </w:r>
    </w:p>
    <w:p w:rsidR="00C6039D" w:rsidRPr="00CA45BB" w:rsidRDefault="00C6039D" w:rsidP="0010442B">
      <w:pPr>
        <w:pStyle w:val="Default"/>
        <w:tabs>
          <w:tab w:val="left" w:pos="2976"/>
        </w:tabs>
        <w:spacing w:line="360" w:lineRule="auto"/>
        <w:jc w:val="both"/>
        <w:rPr>
          <w:color w:val="auto"/>
        </w:rPr>
      </w:pPr>
      <w:r w:rsidRPr="00CA45BB">
        <w:rPr>
          <w:color w:val="auto"/>
        </w:rPr>
        <w:t>- powierzchnia parteru</w:t>
      </w:r>
      <w:r w:rsidR="0010442B" w:rsidRPr="00CA45BB">
        <w:rPr>
          <w:color w:val="auto"/>
        </w:rPr>
        <w:t>:</w:t>
      </w:r>
      <w:r w:rsidR="0010442B" w:rsidRPr="00CA45BB">
        <w:rPr>
          <w:color w:val="auto"/>
        </w:rPr>
        <w:tab/>
        <w:t>147,3 m</w:t>
      </w:r>
      <w:r w:rsidR="0010442B" w:rsidRPr="00CA45BB">
        <w:rPr>
          <w:color w:val="auto"/>
          <w:vertAlign w:val="superscript"/>
        </w:rPr>
        <w:t>2</w:t>
      </w:r>
    </w:p>
    <w:p w:rsidR="00B5566F" w:rsidRPr="00CA45BB" w:rsidRDefault="00B5566F" w:rsidP="00B5566F">
      <w:pPr>
        <w:pStyle w:val="Default"/>
        <w:spacing w:line="360" w:lineRule="auto"/>
        <w:jc w:val="both"/>
        <w:rPr>
          <w:color w:val="auto"/>
        </w:rPr>
      </w:pPr>
      <w:r w:rsidRPr="00CA45BB">
        <w:rPr>
          <w:color w:val="auto"/>
        </w:rPr>
        <w:t>- kubatura budynku</w:t>
      </w:r>
      <w:r w:rsidR="0010442B" w:rsidRPr="00CA45BB">
        <w:rPr>
          <w:color w:val="auto"/>
        </w:rPr>
        <w:t>:</w:t>
      </w:r>
      <w:r w:rsidRPr="00CA45BB">
        <w:rPr>
          <w:color w:val="auto"/>
        </w:rPr>
        <w:tab/>
      </w:r>
      <w:r w:rsidRPr="00CA45BB">
        <w:rPr>
          <w:color w:val="auto"/>
        </w:rPr>
        <w:tab/>
      </w:r>
      <w:r w:rsidR="0010442B" w:rsidRPr="00CA45BB">
        <w:rPr>
          <w:color w:val="auto"/>
        </w:rPr>
        <w:t xml:space="preserve">   943,7 m</w:t>
      </w:r>
      <w:r w:rsidR="0010442B" w:rsidRPr="00CA45BB">
        <w:rPr>
          <w:color w:val="auto"/>
          <w:vertAlign w:val="superscript"/>
        </w:rPr>
        <w:t>3</w:t>
      </w:r>
      <w:r w:rsidRPr="00CA45BB">
        <w:rPr>
          <w:color w:val="auto"/>
        </w:rPr>
        <w:tab/>
      </w:r>
      <w:r w:rsidR="0010442B" w:rsidRPr="00CA45BB">
        <w:rPr>
          <w:color w:val="auto"/>
        </w:rPr>
        <w:t>(404,57 m</w:t>
      </w:r>
      <w:r w:rsidR="0010442B" w:rsidRPr="00CA45BB">
        <w:rPr>
          <w:color w:val="auto"/>
          <w:vertAlign w:val="superscript"/>
        </w:rPr>
        <w:t>3</w:t>
      </w:r>
      <w:r w:rsidR="0010442B" w:rsidRPr="00CA45BB">
        <w:rPr>
          <w:color w:val="auto"/>
        </w:rPr>
        <w:t xml:space="preserve"> + 539,12 m</w:t>
      </w:r>
      <w:r w:rsidR="0010442B" w:rsidRPr="00CA45BB">
        <w:rPr>
          <w:color w:val="auto"/>
          <w:vertAlign w:val="superscript"/>
        </w:rPr>
        <w:t>3</w:t>
      </w:r>
      <w:r w:rsidR="0010442B" w:rsidRPr="00CA45BB">
        <w:rPr>
          <w:color w:val="auto"/>
        </w:rPr>
        <w:t>)</w:t>
      </w:r>
    </w:p>
    <w:p w:rsidR="00B5566F" w:rsidRPr="00CA45BB" w:rsidRDefault="005827C9" w:rsidP="00B5566F">
      <w:pPr>
        <w:pStyle w:val="Default"/>
        <w:spacing w:line="360" w:lineRule="auto"/>
        <w:jc w:val="both"/>
        <w:rPr>
          <w:color w:val="auto"/>
        </w:rPr>
      </w:pPr>
      <w:r w:rsidRPr="00CA45BB">
        <w:rPr>
          <w:color w:val="auto"/>
        </w:rPr>
        <w:t>- liczba kondygnacji : parter + piwnica</w:t>
      </w:r>
      <w:r w:rsidR="00B5566F" w:rsidRPr="00CA45BB">
        <w:rPr>
          <w:color w:val="auto"/>
        </w:rPr>
        <w:tab/>
      </w:r>
    </w:p>
    <w:p w:rsidR="00B5566F" w:rsidRPr="00CA45BB" w:rsidRDefault="00B5566F" w:rsidP="00B5566F">
      <w:pPr>
        <w:pStyle w:val="Default"/>
        <w:spacing w:line="360" w:lineRule="auto"/>
        <w:jc w:val="both"/>
        <w:rPr>
          <w:color w:val="auto"/>
        </w:rPr>
      </w:pPr>
      <w:r w:rsidRPr="00CA45BB">
        <w:rPr>
          <w:color w:val="auto"/>
        </w:rPr>
        <w:t>- wysokość budynku</w:t>
      </w:r>
      <w:r w:rsidR="0010442B" w:rsidRPr="00CA45BB">
        <w:rPr>
          <w:color w:val="auto"/>
        </w:rPr>
        <w:t>:</w:t>
      </w:r>
      <w:r w:rsidRPr="00CA45BB">
        <w:rPr>
          <w:color w:val="auto"/>
        </w:rPr>
        <w:tab/>
      </w:r>
      <w:r w:rsidR="0010442B" w:rsidRPr="00CA45BB">
        <w:rPr>
          <w:color w:val="auto"/>
        </w:rPr>
        <w:t xml:space="preserve">               </w:t>
      </w:r>
      <w:r w:rsidR="005827C9" w:rsidRPr="00CA45BB">
        <w:rPr>
          <w:color w:val="auto"/>
        </w:rPr>
        <w:t>7,01 m (9,1 m do kalenicy)</w:t>
      </w:r>
      <w:r w:rsidRPr="00CA45BB">
        <w:rPr>
          <w:color w:val="auto"/>
        </w:rPr>
        <w:tab/>
      </w:r>
      <w:r w:rsidRPr="00CA45BB">
        <w:rPr>
          <w:color w:val="auto"/>
        </w:rPr>
        <w:tab/>
      </w:r>
    </w:p>
    <w:p w:rsidR="00B5566F" w:rsidRPr="00CA45BB" w:rsidRDefault="00B5566F" w:rsidP="00B5566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Budynek wyposażony jest w następujące instalacje :</w:t>
      </w:r>
    </w:p>
    <w:p w:rsidR="00B5566F" w:rsidRPr="00CA45BB" w:rsidRDefault="00B5566F" w:rsidP="00B5566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- elektryczną</w:t>
      </w:r>
      <w:r w:rsidR="00FE354C">
        <w:rPr>
          <w:rFonts w:ascii="Times New Roman" w:hAnsi="Times New Roman" w:cs="Times New Roman"/>
          <w:sz w:val="24"/>
          <w:szCs w:val="24"/>
        </w:rPr>
        <w:t xml:space="preserve"> – przegląd elektryczny z 28.06.2019r</w:t>
      </w:r>
      <w:r w:rsidR="00DB31AB" w:rsidRPr="00CA45BB">
        <w:rPr>
          <w:rFonts w:ascii="Times New Roman" w:hAnsi="Times New Roman" w:cs="Times New Roman"/>
          <w:sz w:val="24"/>
          <w:szCs w:val="24"/>
        </w:rPr>
        <w:t>,</w:t>
      </w:r>
    </w:p>
    <w:p w:rsidR="00B5566F" w:rsidRDefault="00B5566F" w:rsidP="00B5566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- odgromową</w:t>
      </w:r>
      <w:r w:rsidR="00FE354C">
        <w:rPr>
          <w:rFonts w:ascii="Times New Roman" w:hAnsi="Times New Roman" w:cs="Times New Roman"/>
          <w:sz w:val="24"/>
          <w:szCs w:val="24"/>
        </w:rPr>
        <w:t xml:space="preserve"> niesprawna – niesprawna przegląd z 28.06.2019r</w:t>
      </w:r>
      <w:r w:rsidR="00DB31AB" w:rsidRPr="00CA45BB">
        <w:rPr>
          <w:rFonts w:ascii="Times New Roman" w:hAnsi="Times New Roman" w:cs="Times New Roman"/>
          <w:sz w:val="24"/>
          <w:szCs w:val="24"/>
        </w:rPr>
        <w:t>,</w:t>
      </w:r>
    </w:p>
    <w:p w:rsidR="00675689" w:rsidRPr="00CA45BB" w:rsidRDefault="00675689" w:rsidP="00B5566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wyłącznik przeciwpożarowy – niesprawny,</w:t>
      </w:r>
    </w:p>
    <w:p w:rsidR="00B5566F" w:rsidRPr="00CA45BB" w:rsidRDefault="00B5566F" w:rsidP="00B5566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 xml:space="preserve">- </w:t>
      </w:r>
      <w:r w:rsidR="004038C1" w:rsidRPr="00CA45BB">
        <w:rPr>
          <w:rFonts w:ascii="Times New Roman" w:hAnsi="Times New Roman" w:cs="Times New Roman"/>
          <w:sz w:val="24"/>
          <w:szCs w:val="24"/>
        </w:rPr>
        <w:t>c.o.</w:t>
      </w:r>
      <w:r w:rsidR="00DB31AB" w:rsidRPr="00CA45BB">
        <w:rPr>
          <w:rFonts w:ascii="Times New Roman" w:hAnsi="Times New Roman" w:cs="Times New Roman"/>
          <w:sz w:val="24"/>
          <w:szCs w:val="24"/>
        </w:rPr>
        <w:t>,</w:t>
      </w:r>
    </w:p>
    <w:p w:rsidR="00B5566F" w:rsidRPr="00CA45BB" w:rsidRDefault="00DB31AB" w:rsidP="00B5566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- wentylacji,</w:t>
      </w:r>
    </w:p>
    <w:p w:rsidR="00B5566F" w:rsidRPr="00CA45BB" w:rsidRDefault="00B5566F" w:rsidP="00B5566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- wodno-kanalizacyjną</w:t>
      </w:r>
    </w:p>
    <w:p w:rsidR="00832B6E" w:rsidRPr="00CA45BB" w:rsidRDefault="00B5566F" w:rsidP="00B5566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2B6E" w:rsidRPr="00CA45BB" w:rsidRDefault="00832B6E" w:rsidP="003A5A4A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45BB">
        <w:rPr>
          <w:rFonts w:ascii="Times New Roman" w:hAnsi="Times New Roman" w:cs="Times New Roman"/>
          <w:b/>
          <w:sz w:val="24"/>
          <w:szCs w:val="24"/>
        </w:rPr>
        <w:t xml:space="preserve">Wymagania </w:t>
      </w:r>
      <w:proofErr w:type="spellStart"/>
      <w:r w:rsidRPr="00CA45BB">
        <w:rPr>
          <w:rFonts w:ascii="Times New Roman" w:hAnsi="Times New Roman" w:cs="Times New Roman"/>
          <w:b/>
          <w:sz w:val="24"/>
          <w:szCs w:val="24"/>
        </w:rPr>
        <w:t>przedinstalacyjne</w:t>
      </w:r>
      <w:proofErr w:type="spellEnd"/>
      <w:r w:rsidRPr="00CA45B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04FFE">
        <w:rPr>
          <w:rFonts w:ascii="Times New Roman" w:hAnsi="Times New Roman" w:cs="Times New Roman"/>
          <w:b/>
          <w:sz w:val="24"/>
          <w:szCs w:val="24"/>
        </w:rPr>
        <w:t xml:space="preserve">Producenta </w:t>
      </w:r>
      <w:r w:rsidRPr="00CA45BB">
        <w:rPr>
          <w:rFonts w:ascii="Times New Roman" w:hAnsi="Times New Roman" w:cs="Times New Roman"/>
          <w:b/>
          <w:sz w:val="24"/>
          <w:szCs w:val="24"/>
        </w:rPr>
        <w:t>dla analizatora sorpcji XEMIS</w:t>
      </w:r>
    </w:p>
    <w:p w:rsidR="003A5A4A" w:rsidRPr="00CA45BB" w:rsidRDefault="003A5A4A" w:rsidP="00282674">
      <w:pPr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Poniżej przedstawiono ogólne wytyczne</w:t>
      </w:r>
      <w:r w:rsidR="00282674" w:rsidRPr="00CA45BB">
        <w:rPr>
          <w:rFonts w:ascii="Times New Roman" w:hAnsi="Times New Roman" w:cs="Times New Roman"/>
          <w:sz w:val="24"/>
          <w:szCs w:val="24"/>
        </w:rPr>
        <w:t xml:space="preserve"> Producenta </w:t>
      </w:r>
      <w:r w:rsidRPr="00CA45BB">
        <w:rPr>
          <w:rFonts w:ascii="Times New Roman" w:hAnsi="Times New Roman" w:cs="Times New Roman"/>
          <w:sz w:val="24"/>
          <w:szCs w:val="24"/>
        </w:rPr>
        <w:t xml:space="preserve"> dotyczące systemu</w:t>
      </w:r>
      <w:r w:rsidR="00282674" w:rsidRPr="00CA45BB">
        <w:rPr>
          <w:rFonts w:ascii="Times New Roman" w:hAnsi="Times New Roman" w:cs="Times New Roman"/>
          <w:sz w:val="24"/>
          <w:szCs w:val="24"/>
        </w:rPr>
        <w:t xml:space="preserve"> XEMIS:</w:t>
      </w:r>
    </w:p>
    <w:p w:rsidR="003A5A4A" w:rsidRDefault="003A5A4A" w:rsidP="003A5A4A">
      <w:pPr>
        <w:pStyle w:val="Akapitzlist"/>
        <w:numPr>
          <w:ilvl w:val="0"/>
          <w:numId w:val="24"/>
        </w:numPr>
        <w:rPr>
          <w:rFonts w:ascii="Times New Roman" w:hAnsi="Times New Roman" w:cs="Times New Roman"/>
          <w:b/>
          <w:sz w:val="24"/>
          <w:szCs w:val="24"/>
        </w:rPr>
      </w:pPr>
      <w:r w:rsidRPr="00CA45BB">
        <w:rPr>
          <w:rFonts w:ascii="Times New Roman" w:hAnsi="Times New Roman" w:cs="Times New Roman"/>
          <w:b/>
          <w:sz w:val="24"/>
          <w:szCs w:val="24"/>
        </w:rPr>
        <w:t>Wymagania ogólne</w:t>
      </w:r>
    </w:p>
    <w:p w:rsidR="00A45FB9" w:rsidRPr="00CA45BB" w:rsidRDefault="00A45FB9" w:rsidP="00A45FB9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3A5A4A" w:rsidRPr="00CA45BB" w:rsidRDefault="00BC2C67" w:rsidP="003A5A4A">
      <w:pPr>
        <w:pStyle w:val="Akapitzlist"/>
        <w:numPr>
          <w:ilvl w:val="1"/>
          <w:numId w:val="23"/>
        </w:numPr>
        <w:rPr>
          <w:rFonts w:ascii="Times New Roman" w:hAnsi="Times New Roman" w:cs="Times New Roman"/>
          <w:b/>
          <w:sz w:val="24"/>
          <w:szCs w:val="24"/>
        </w:rPr>
      </w:pPr>
      <w:r w:rsidRPr="00CA45BB">
        <w:rPr>
          <w:rFonts w:ascii="Times New Roman" w:hAnsi="Times New Roman" w:cs="Times New Roman"/>
          <w:b/>
          <w:sz w:val="24"/>
          <w:szCs w:val="24"/>
        </w:rPr>
        <w:t>Podłogi</w:t>
      </w:r>
    </w:p>
    <w:p w:rsidR="003A5A4A" w:rsidRPr="00CA45BB" w:rsidRDefault="003A5A4A" w:rsidP="003A5A4A">
      <w:pPr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 xml:space="preserve">Obszar podłogi, w którym ma być zamontowana rama aparatu, powinien być wypoziomowany i wolny od wibracji. Efekty wibracyjne są na ogół minimalne na poziomie gruntu lub piwnicy. Szczegółowe informacje na ten temat niezbędnej przestrzeni można znaleźć na rysunku będącym załącznikiem nr 1 do niniejszych wymagań </w:t>
      </w:r>
      <w:proofErr w:type="spellStart"/>
      <w:r w:rsidRPr="00CA45BB">
        <w:rPr>
          <w:rFonts w:ascii="Times New Roman" w:hAnsi="Times New Roman" w:cs="Times New Roman"/>
          <w:sz w:val="24"/>
          <w:szCs w:val="24"/>
        </w:rPr>
        <w:t>przedisntalacyjnych</w:t>
      </w:r>
      <w:proofErr w:type="spellEnd"/>
      <w:r w:rsidRPr="00CA45BB">
        <w:rPr>
          <w:rFonts w:ascii="Times New Roman" w:hAnsi="Times New Roman" w:cs="Times New Roman"/>
          <w:sz w:val="24"/>
          <w:szCs w:val="24"/>
        </w:rPr>
        <w:t>.</w:t>
      </w:r>
    </w:p>
    <w:p w:rsidR="003A5A4A" w:rsidRDefault="003A5A4A" w:rsidP="003A5A4A">
      <w:pPr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Analizatory XEMIS są dostarczane z ramami do montażu na podłodze, rama podłogowa jest  mocowana do podłogi za pomocą 3 śrub kotwowych 6M, które wymagają wywiercenia 3 otworów w podłodze o średnicy 12 mm na głębokość 50mm. Rozmieszczenie otworów i dopuszczalne przesunięcia obrazuje załącznik nr 1</w:t>
      </w:r>
      <w:r w:rsidR="006D28C6">
        <w:rPr>
          <w:rFonts w:ascii="Times New Roman" w:hAnsi="Times New Roman" w:cs="Times New Roman"/>
          <w:sz w:val="24"/>
          <w:szCs w:val="24"/>
        </w:rPr>
        <w:t>a</w:t>
      </w:r>
      <w:r w:rsidRPr="00CA45BB">
        <w:rPr>
          <w:rFonts w:ascii="Times New Roman" w:hAnsi="Times New Roman" w:cs="Times New Roman"/>
          <w:sz w:val="24"/>
          <w:szCs w:val="24"/>
        </w:rPr>
        <w:t>. Wywiercenie otworów leży po stronie Użytkownika i musi nastąpić przed instalacją lub w dniu instalacji systemu.</w:t>
      </w:r>
      <w:r w:rsidR="00E67C3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7C30" w:rsidRPr="00E67C30" w:rsidRDefault="00E67C30" w:rsidP="003A5A4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67C30">
        <w:rPr>
          <w:rFonts w:ascii="Times New Roman" w:hAnsi="Times New Roman" w:cs="Times New Roman"/>
          <w:b/>
          <w:sz w:val="24"/>
          <w:szCs w:val="24"/>
        </w:rPr>
        <w:t xml:space="preserve">WAGA urządzenia </w:t>
      </w:r>
      <w:r>
        <w:rPr>
          <w:rFonts w:ascii="Times New Roman" w:hAnsi="Times New Roman" w:cs="Times New Roman"/>
          <w:b/>
          <w:sz w:val="24"/>
          <w:szCs w:val="24"/>
        </w:rPr>
        <w:t xml:space="preserve">ok. </w:t>
      </w:r>
      <w:r w:rsidRPr="00E67C30">
        <w:rPr>
          <w:rFonts w:ascii="Times New Roman" w:hAnsi="Times New Roman" w:cs="Times New Roman"/>
          <w:b/>
          <w:sz w:val="24"/>
          <w:szCs w:val="24"/>
        </w:rPr>
        <w:t>250 kg</w:t>
      </w:r>
    </w:p>
    <w:p w:rsidR="003A5A4A" w:rsidRPr="00CA45BB" w:rsidRDefault="003A5A4A" w:rsidP="00E67C30">
      <w:pPr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Stacja dostarczania / kontroli gazu jest dostarczana w postaci wolnostojącej szafy umieszczanej po prawej stronie analizatora XEMIS.</w:t>
      </w:r>
    </w:p>
    <w:p w:rsidR="003A5A4A" w:rsidRPr="00CA45BB" w:rsidRDefault="003A5A4A" w:rsidP="00E67C30">
      <w:pPr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 xml:space="preserve">Podczas wiercenia otworów w podłodze pod ramę analizatora XEMIS  należy się upewnić, że po prawej stronie jest odpowiednia przestrzeń na stacje dozowania/kontroli przepływu gazu. </w:t>
      </w:r>
      <w:r w:rsidRPr="00CA45BB">
        <w:rPr>
          <w:rFonts w:ascii="Times New Roman" w:hAnsi="Times New Roman" w:cs="Times New Roman"/>
          <w:sz w:val="24"/>
          <w:szCs w:val="24"/>
        </w:rPr>
        <w:lastRenderedPageBreak/>
        <w:t>Szczegółowe informacje na temat wymaganej przestrzeni laboratoryjnej można znaleźć w Załączniku nr 1.</w:t>
      </w:r>
    </w:p>
    <w:p w:rsidR="003A5A4A" w:rsidRPr="00CA45BB" w:rsidRDefault="003A5A4A" w:rsidP="003A5A4A">
      <w:pPr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Wymagane jest pozostawienie co najmniej 0,5 m wolnej przestrzeni serwisowej z tyłu analizatora, jak i szafy, a także dodatkowo 1m po prawej lub lewej stronie XEMIS dla zestawu komputerowego</w:t>
      </w:r>
    </w:p>
    <w:p w:rsidR="003A5A4A" w:rsidRPr="00CA45BB" w:rsidRDefault="003A5A4A" w:rsidP="003A5A4A">
      <w:pPr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Dodatkowa przestrzeń wymagana dla cyrkulatora wynosi 0,55 m po lewej stronie analizatora XEMIS.</w:t>
      </w:r>
    </w:p>
    <w:p w:rsidR="003A5A4A" w:rsidRPr="00CA45BB" w:rsidRDefault="003A5A4A" w:rsidP="003A5A4A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CA45BB">
        <w:rPr>
          <w:rFonts w:ascii="Times New Roman" w:hAnsi="Times New Roman" w:cs="Times New Roman"/>
          <w:b/>
          <w:sz w:val="24"/>
          <w:szCs w:val="24"/>
        </w:rPr>
        <w:t>1.2 Zasilanie energią elektryczną</w:t>
      </w:r>
    </w:p>
    <w:p w:rsidR="003A5A4A" w:rsidRPr="00CA45BB" w:rsidRDefault="003A5A4A" w:rsidP="003A5A4A">
      <w:pPr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Wymagane jest co najmniej sześć niezależnych gniazd zasilania 240 VAC, każde o mocy co najmniej 10 A.</w:t>
      </w:r>
    </w:p>
    <w:p w:rsidR="003A5A4A" w:rsidRPr="00CA45BB" w:rsidRDefault="003A5A4A" w:rsidP="003A5A4A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CA45BB">
        <w:rPr>
          <w:rFonts w:ascii="Times New Roman" w:hAnsi="Times New Roman" w:cs="Times New Roman"/>
          <w:b/>
          <w:sz w:val="24"/>
          <w:szCs w:val="24"/>
        </w:rPr>
        <w:t>1.3 Źródło gazu</w:t>
      </w:r>
    </w:p>
    <w:p w:rsidR="003A5A4A" w:rsidRPr="00CA45BB" w:rsidRDefault="003A5A4A" w:rsidP="003A5A4A">
      <w:pPr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System wymaga zasilania gazem pod ciśnieniem co najmniej identycznym do zamierzonego ciśnienia roboczego. Po stronie Użytkownika jest zapewnienie dostaw wymaganego gazu roboczego z regulacją ciśnienia w wymaganym zakresie. Liczba wlotów gazu zależy od dokładnego modelu i specyfikacji, ale system XEMIS-001 jest wyposażony w pojedynczy wlot gazu.</w:t>
      </w:r>
    </w:p>
    <w:p w:rsidR="003A5A4A" w:rsidRPr="00CA45BB" w:rsidRDefault="003A5A4A" w:rsidP="003A5A4A">
      <w:pPr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 xml:space="preserve">Do instalacji wymagany jest azot (wysoka czystość - 99,999%) i  gaz roboczy. Gazy powinny być doprowadzone do aparatu za pomocą rurek  1/8” </w:t>
      </w:r>
      <w:proofErr w:type="spellStart"/>
      <w:r w:rsidRPr="00CA45BB">
        <w:rPr>
          <w:rFonts w:ascii="Times New Roman" w:hAnsi="Times New Roman" w:cs="Times New Roman"/>
          <w:sz w:val="24"/>
          <w:szCs w:val="24"/>
        </w:rPr>
        <w:t>Swagelok</w:t>
      </w:r>
      <w:proofErr w:type="spellEnd"/>
      <w:r w:rsidRPr="00CA45BB">
        <w:rPr>
          <w:rFonts w:ascii="Times New Roman" w:hAnsi="Times New Roman" w:cs="Times New Roman"/>
          <w:sz w:val="24"/>
          <w:szCs w:val="24"/>
        </w:rPr>
        <w:t>.</w:t>
      </w:r>
    </w:p>
    <w:p w:rsidR="003A5A4A" w:rsidRPr="00CA45BB" w:rsidRDefault="003A5A4A" w:rsidP="00A45FB9">
      <w:pPr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 xml:space="preserve"> Złącza wlotu gazu są złączami </w:t>
      </w:r>
      <w:proofErr w:type="spellStart"/>
      <w:r w:rsidRPr="00CA45BB">
        <w:rPr>
          <w:rFonts w:ascii="Times New Roman" w:hAnsi="Times New Roman" w:cs="Times New Roman"/>
          <w:sz w:val="24"/>
          <w:szCs w:val="24"/>
        </w:rPr>
        <w:t>Swagelok</w:t>
      </w:r>
      <w:proofErr w:type="spellEnd"/>
      <w:r w:rsidRPr="00CA45BB">
        <w:rPr>
          <w:rFonts w:ascii="Times New Roman" w:hAnsi="Times New Roman" w:cs="Times New Roman"/>
          <w:sz w:val="24"/>
          <w:szCs w:val="24"/>
        </w:rPr>
        <w:t>® 1/8 ”, umieszczonymi z tyłu szafy. Użytkownik musi zapewnić wystarczającą długość rurki ze stali nierdzewnej 1/8 ”, od butli do wlotu złącza w aparacie XEMIS, które mieści się na wysokości ok 1,5 m od podstawy.</w:t>
      </w:r>
    </w:p>
    <w:p w:rsidR="003A5A4A" w:rsidRPr="00CA45BB" w:rsidRDefault="003A5A4A" w:rsidP="003A5A4A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CA45BB">
        <w:rPr>
          <w:rFonts w:ascii="Times New Roman" w:hAnsi="Times New Roman" w:cs="Times New Roman"/>
          <w:b/>
          <w:sz w:val="24"/>
          <w:szCs w:val="24"/>
        </w:rPr>
        <w:t>1.4 Odprowadzenie gazów</w:t>
      </w:r>
    </w:p>
    <w:p w:rsidR="003A5A4A" w:rsidRPr="00CA45BB" w:rsidRDefault="003A5A4A" w:rsidP="003A5A4A">
      <w:pPr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 xml:space="preserve">XEMIS ma dwa otwory wentylacyjne, które są złączami </w:t>
      </w:r>
      <w:proofErr w:type="spellStart"/>
      <w:r w:rsidRPr="00CA45BB">
        <w:rPr>
          <w:rFonts w:ascii="Times New Roman" w:hAnsi="Times New Roman" w:cs="Times New Roman"/>
          <w:sz w:val="24"/>
          <w:szCs w:val="24"/>
        </w:rPr>
        <w:t>Swagelok</w:t>
      </w:r>
      <w:proofErr w:type="spellEnd"/>
      <w:r w:rsidRPr="00CA45BB">
        <w:rPr>
          <w:rFonts w:ascii="Times New Roman" w:hAnsi="Times New Roman" w:cs="Times New Roman"/>
          <w:sz w:val="24"/>
          <w:szCs w:val="24"/>
        </w:rPr>
        <w:t>® 1/4 ”i muszą być podłączone do</w:t>
      </w:r>
      <w:r w:rsidR="00BC2C67">
        <w:rPr>
          <w:rFonts w:ascii="Times New Roman" w:hAnsi="Times New Roman" w:cs="Times New Roman"/>
          <w:sz w:val="24"/>
          <w:szCs w:val="24"/>
        </w:rPr>
        <w:t xml:space="preserve"> </w:t>
      </w:r>
      <w:r w:rsidRPr="00CA45BB">
        <w:rPr>
          <w:rFonts w:ascii="Times New Roman" w:hAnsi="Times New Roman" w:cs="Times New Roman"/>
          <w:sz w:val="24"/>
          <w:szCs w:val="24"/>
        </w:rPr>
        <w:t xml:space="preserve">systemu ekstrakcji. Dodatkowo są dwa odpowietrzniki upustowe, które są zakończone złączami </w:t>
      </w:r>
      <w:proofErr w:type="spellStart"/>
      <w:r w:rsidRPr="00CA45BB">
        <w:rPr>
          <w:rFonts w:ascii="Times New Roman" w:hAnsi="Times New Roman" w:cs="Times New Roman"/>
          <w:sz w:val="24"/>
          <w:szCs w:val="24"/>
        </w:rPr>
        <w:t>Swagelok</w:t>
      </w:r>
      <w:proofErr w:type="spellEnd"/>
      <w:r w:rsidRPr="00CA45BB">
        <w:rPr>
          <w:rFonts w:ascii="Times New Roman" w:hAnsi="Times New Roman" w:cs="Times New Roman"/>
          <w:sz w:val="24"/>
          <w:szCs w:val="24"/>
        </w:rPr>
        <w:t>® 1/4 ”, które muszą być również podłączone do systemu ekstrakcji laboratoryjnej.</w:t>
      </w:r>
    </w:p>
    <w:p w:rsidR="003A5A4A" w:rsidRPr="00CA45BB" w:rsidRDefault="003A5A4A" w:rsidP="003A5A4A">
      <w:pPr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Wymagania systemu ekstrakcji zależą od rodzaju gazu, który ma być użyty, jak omówiono poniżej.</w:t>
      </w:r>
    </w:p>
    <w:p w:rsidR="003A5A4A" w:rsidRPr="00CA45BB" w:rsidRDefault="003A5A4A" w:rsidP="003A5A4A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b/>
          <w:sz w:val="24"/>
          <w:szCs w:val="24"/>
        </w:rPr>
      </w:pPr>
      <w:r w:rsidRPr="00CA45BB">
        <w:rPr>
          <w:rFonts w:ascii="Times New Roman" w:hAnsi="Times New Roman" w:cs="Times New Roman"/>
          <w:b/>
          <w:sz w:val="24"/>
          <w:szCs w:val="24"/>
        </w:rPr>
        <w:t>Bezpieczeństwo laboratoryjne</w:t>
      </w:r>
    </w:p>
    <w:p w:rsidR="003A5A4A" w:rsidRPr="00CA45BB" w:rsidRDefault="003A5A4A" w:rsidP="00282674">
      <w:pPr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 xml:space="preserve">Ogólna odpowiedzialność za bezpieczeństwo laboratoryjne, w tym na przykład stosowanie łatwopalnych lub toksycznych gazów na analizatorze XEMIS leży po stronie Użytkownika. </w:t>
      </w:r>
      <w:proofErr w:type="spellStart"/>
      <w:r w:rsidRPr="00CA45BB">
        <w:rPr>
          <w:rFonts w:ascii="Times New Roman" w:hAnsi="Times New Roman" w:cs="Times New Roman"/>
          <w:sz w:val="24"/>
          <w:szCs w:val="24"/>
        </w:rPr>
        <w:t>Hiden</w:t>
      </w:r>
      <w:proofErr w:type="spellEnd"/>
      <w:r w:rsidRPr="00CA45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45BB">
        <w:rPr>
          <w:rFonts w:ascii="Times New Roman" w:hAnsi="Times New Roman" w:cs="Times New Roman"/>
          <w:sz w:val="24"/>
          <w:szCs w:val="24"/>
        </w:rPr>
        <w:t>Isochema</w:t>
      </w:r>
      <w:proofErr w:type="spellEnd"/>
      <w:r w:rsidRPr="00CA45BB">
        <w:rPr>
          <w:rFonts w:ascii="Times New Roman" w:hAnsi="Times New Roman" w:cs="Times New Roman"/>
          <w:sz w:val="24"/>
          <w:szCs w:val="24"/>
        </w:rPr>
        <w:t xml:space="preserve"> zdecydowanie zaleca wszystkim użytkownikom przeprowadzenie pełnej oceny ryzyka w laboratorium, w którym znajduje się sprzęt. Aparat i oprzyrządowanie powinny pracować zgodnie z wytycznymi bezpieczeństwa dla danego miejsca.</w:t>
      </w:r>
    </w:p>
    <w:p w:rsidR="003A5A4A" w:rsidRPr="00CA45BB" w:rsidRDefault="003A5A4A" w:rsidP="003A5A4A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CA45BB">
        <w:rPr>
          <w:rFonts w:ascii="Times New Roman" w:hAnsi="Times New Roman" w:cs="Times New Roman"/>
          <w:b/>
          <w:sz w:val="24"/>
          <w:szCs w:val="24"/>
        </w:rPr>
        <w:t>2.1 Praca z gazami łatwopalnymi (i tymi zdolnymi do tworzenia mieszanin wybuchowych)</w:t>
      </w:r>
    </w:p>
    <w:p w:rsidR="003A5A4A" w:rsidRPr="00CA45BB" w:rsidRDefault="003A5A4A" w:rsidP="003A5A4A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CA45BB">
        <w:rPr>
          <w:rFonts w:ascii="Times New Roman" w:hAnsi="Times New Roman" w:cs="Times New Roman"/>
          <w:b/>
          <w:sz w:val="24"/>
          <w:szCs w:val="24"/>
        </w:rPr>
        <w:t>2.1.1 Dyrektywy ATEX (to oświadczenie dotyczy klientów działających w Unii Europejskiej)</w:t>
      </w:r>
    </w:p>
    <w:p w:rsidR="003A5A4A" w:rsidRPr="00CA45BB" w:rsidRDefault="003A5A4A" w:rsidP="00A45FB9">
      <w:pPr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lastRenderedPageBreak/>
        <w:t>Istnieją dwie dyrektywy europejskie dotyczące personelu i sprzętu w przestrzeniach zagrożonych wybuchem.</w:t>
      </w:r>
    </w:p>
    <w:p w:rsidR="003A5A4A" w:rsidRPr="00CA45BB" w:rsidRDefault="003A5A4A" w:rsidP="003A5A4A">
      <w:pPr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Są one opisane poniżej:</w:t>
      </w:r>
    </w:p>
    <w:p w:rsidR="003A5A4A" w:rsidRPr="00CA45BB" w:rsidRDefault="003A5A4A" w:rsidP="003A5A4A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Dyrektywa ATEX „Bezpieczeństwo pracowników” (1999/92 WE ATEX 137).</w:t>
      </w:r>
    </w:p>
    <w:p w:rsidR="003A5A4A" w:rsidRPr="00CA45BB" w:rsidRDefault="003A5A4A" w:rsidP="003A5A4A">
      <w:pPr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Nakłada na klienta obowiązek zapewnienia zdrowia i bezpieczeństwa w miejscu pracy.</w:t>
      </w:r>
    </w:p>
    <w:p w:rsidR="003A5A4A" w:rsidRPr="00CA45BB" w:rsidRDefault="003A5A4A" w:rsidP="003A5A4A">
      <w:pPr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Laboratorium powinno być podzielone zgodnie ze zidentyfikowanymi zagrożeniami:</w:t>
      </w:r>
    </w:p>
    <w:p w:rsidR="003A5A4A" w:rsidRPr="00CA45BB" w:rsidRDefault="003A5A4A" w:rsidP="003A5A4A">
      <w:pPr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Strefa 2 - Zazwyczaj nie ma ryzyka wystąpienia zagrożenia i, jeśli się pojawi, to jest ono krótkotrwałe.</w:t>
      </w:r>
    </w:p>
    <w:p w:rsidR="003A5A4A" w:rsidRPr="00CA45BB" w:rsidRDefault="003A5A4A" w:rsidP="003A5A4A">
      <w:pPr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Strefa 1 - Zagrożenie może występować często przez krótkie okresy lub rzadko przez dłuższy czas.</w:t>
      </w:r>
    </w:p>
    <w:p w:rsidR="003A5A4A" w:rsidRPr="00CA45BB" w:rsidRDefault="003A5A4A" w:rsidP="003A5A4A">
      <w:pPr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Strefa 0 - zagrożenie może być obecne w sposób ciągły.</w:t>
      </w:r>
    </w:p>
    <w:p w:rsidR="003A5A4A" w:rsidRPr="00CA45BB" w:rsidRDefault="003A5A4A" w:rsidP="003A5A4A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Dyrektywa ATEX „Wyposażenie” (1994 / 9EC ATEX 100a)</w:t>
      </w:r>
    </w:p>
    <w:p w:rsidR="003A5A4A" w:rsidRDefault="003A5A4A" w:rsidP="00675689">
      <w:pPr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 xml:space="preserve">Dotyczy to urządzeń przeznaczonych do użytku w obszarach </w:t>
      </w:r>
      <w:r w:rsidR="00675689">
        <w:rPr>
          <w:rFonts w:ascii="Times New Roman" w:eastAsia="Times New Roman" w:hAnsi="Times New Roman" w:cs="Times New Roman"/>
          <w:sz w:val="24"/>
          <w:szCs w:val="24"/>
          <w:lang w:eastAsia="pl-PL"/>
        </w:rPr>
        <w:t>zagrożonych wybuchem</w:t>
      </w:r>
      <w:r w:rsidRPr="00CA45BB">
        <w:rPr>
          <w:rFonts w:ascii="Times New Roman" w:eastAsia="Times New Roman" w:hAnsi="Times New Roman" w:cs="Times New Roman"/>
          <w:sz w:val="24"/>
          <w:szCs w:val="24"/>
          <w:lang w:eastAsia="pl-PL"/>
        </w:rPr>
        <w:t>. D</w:t>
      </w:r>
      <w:r w:rsidRPr="00CA45BB">
        <w:rPr>
          <w:rFonts w:ascii="Times New Roman" w:hAnsi="Times New Roman" w:cs="Times New Roman"/>
          <w:sz w:val="24"/>
          <w:szCs w:val="24"/>
        </w:rPr>
        <w:t>otyczy specyfikacji, konstrukcji oraz obsługi urządzeń do użytku w atmosferach potencjalnie wybuchowych.</w:t>
      </w:r>
    </w:p>
    <w:p w:rsidR="00A45FB9" w:rsidRPr="00CA45BB" w:rsidRDefault="00A45FB9" w:rsidP="003A5A4A">
      <w:pPr>
        <w:rPr>
          <w:rFonts w:ascii="Times New Roman" w:hAnsi="Times New Roman" w:cs="Times New Roman"/>
          <w:sz w:val="24"/>
          <w:szCs w:val="24"/>
        </w:rPr>
      </w:pPr>
    </w:p>
    <w:p w:rsidR="003A5A4A" w:rsidRPr="00CA45BB" w:rsidRDefault="003A5A4A" w:rsidP="003A5A4A">
      <w:pPr>
        <w:rPr>
          <w:rFonts w:ascii="Times New Roman" w:hAnsi="Times New Roman" w:cs="Times New Roman"/>
          <w:b/>
          <w:sz w:val="24"/>
          <w:szCs w:val="24"/>
        </w:rPr>
      </w:pPr>
      <w:r w:rsidRPr="00CA45BB">
        <w:rPr>
          <w:rFonts w:ascii="Times New Roman" w:hAnsi="Times New Roman" w:cs="Times New Roman"/>
          <w:b/>
          <w:sz w:val="24"/>
          <w:szCs w:val="24"/>
        </w:rPr>
        <w:t>2.1.2 Ogólne</w:t>
      </w:r>
    </w:p>
    <w:p w:rsidR="003A5A4A" w:rsidRPr="00CA45BB" w:rsidRDefault="003A5A4A" w:rsidP="00F200F6">
      <w:pPr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Konieczne jest uwzględnienie ryzyka stwarzanego przez XEMIS, gdy wykorzystywane są lotne gazy.</w:t>
      </w:r>
    </w:p>
    <w:p w:rsidR="003A5A4A" w:rsidRPr="00CA45BB" w:rsidRDefault="003A5A4A" w:rsidP="00282674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A45BB">
        <w:rPr>
          <w:rFonts w:ascii="Times New Roman" w:hAnsi="Times New Roman" w:cs="Times New Roman"/>
          <w:sz w:val="24"/>
          <w:szCs w:val="24"/>
        </w:rPr>
        <w:t>Hiden</w:t>
      </w:r>
      <w:proofErr w:type="spellEnd"/>
      <w:r w:rsidRPr="00CA45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45BB">
        <w:rPr>
          <w:rFonts w:ascii="Times New Roman" w:hAnsi="Times New Roman" w:cs="Times New Roman"/>
          <w:sz w:val="24"/>
          <w:szCs w:val="24"/>
        </w:rPr>
        <w:t>Isochema</w:t>
      </w:r>
      <w:proofErr w:type="spellEnd"/>
      <w:r w:rsidRPr="00CA45BB">
        <w:rPr>
          <w:rFonts w:ascii="Times New Roman" w:hAnsi="Times New Roman" w:cs="Times New Roman"/>
          <w:sz w:val="24"/>
          <w:szCs w:val="24"/>
        </w:rPr>
        <w:t xml:space="preserve"> jest przekonany </w:t>
      </w:r>
      <w:r w:rsidR="00282674" w:rsidRPr="00CA45BB">
        <w:rPr>
          <w:rFonts w:ascii="Times New Roman" w:hAnsi="Times New Roman" w:cs="Times New Roman"/>
          <w:sz w:val="24"/>
          <w:szCs w:val="24"/>
        </w:rPr>
        <w:t xml:space="preserve">, że </w:t>
      </w:r>
      <w:r w:rsidRPr="00CA45BB">
        <w:rPr>
          <w:rFonts w:ascii="Times New Roman" w:hAnsi="Times New Roman" w:cs="Times New Roman"/>
          <w:sz w:val="24"/>
          <w:szCs w:val="24"/>
        </w:rPr>
        <w:t>dostarczany aparat jest bezpieczny w normalnym trybie pracy. Gaz pod ciśnieniem do 200 bar (w zależności od konfiguracji) jest obecny w układzie dozowania gazu i komorze XEMIS, ale jest on odizolowany od źródeł zapłonu. Musiałoby dojść do awarii jednego z elementów aparatu lub błędu użytkownika aby doszło do potencjalnego zagrożenie w przypadku kontaktu ze źródłem zapłonu.</w:t>
      </w:r>
    </w:p>
    <w:p w:rsidR="003A5A4A" w:rsidRPr="00CA45BB" w:rsidRDefault="003A5A4A" w:rsidP="003A5A4A">
      <w:pPr>
        <w:rPr>
          <w:rFonts w:ascii="Times New Roman" w:hAnsi="Times New Roman" w:cs="Times New Roman"/>
          <w:b/>
          <w:sz w:val="24"/>
          <w:szCs w:val="24"/>
        </w:rPr>
      </w:pPr>
      <w:r w:rsidRPr="00CA45BB">
        <w:rPr>
          <w:rFonts w:ascii="Times New Roman" w:hAnsi="Times New Roman" w:cs="Times New Roman"/>
          <w:b/>
          <w:sz w:val="24"/>
          <w:szCs w:val="24"/>
        </w:rPr>
        <w:t>2.1.3 Wnioski</w:t>
      </w:r>
    </w:p>
    <w:p w:rsidR="003A5A4A" w:rsidRPr="00CA45BB" w:rsidRDefault="003A5A4A" w:rsidP="00675689">
      <w:pPr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Konstrukcja aparatu XEMIS umożliwia pracę  z gazami łatwopalnymi w strefie 2 lub w środowisku dobrze wentylowanego laboratorium lub pod działającym wyciągiem. Uwaga, należy zauważyć, że ten wniosek nie obejmuje pracy z wysoce toksycznymi gazami, które omówiono poniżej.</w:t>
      </w:r>
    </w:p>
    <w:p w:rsidR="003A5A4A" w:rsidRPr="00CA45BB" w:rsidRDefault="003A5A4A" w:rsidP="003A5A4A">
      <w:pPr>
        <w:rPr>
          <w:rFonts w:ascii="Times New Roman" w:hAnsi="Times New Roman" w:cs="Times New Roman"/>
          <w:b/>
          <w:sz w:val="24"/>
          <w:szCs w:val="24"/>
        </w:rPr>
      </w:pPr>
      <w:r w:rsidRPr="00CA45BB">
        <w:rPr>
          <w:rFonts w:ascii="Times New Roman" w:hAnsi="Times New Roman" w:cs="Times New Roman"/>
          <w:b/>
          <w:sz w:val="24"/>
          <w:szCs w:val="24"/>
        </w:rPr>
        <w:t>2.2 Praca z gazami toksycznymi</w:t>
      </w:r>
    </w:p>
    <w:p w:rsidR="003A5A4A" w:rsidRPr="00CA45BB" w:rsidRDefault="003A5A4A" w:rsidP="00F200F6">
      <w:pPr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Dokładne wymagania dotyczące bezpieczeństwa w laboratorium będą zależały od charakteru i stężeń gazów toksycznych, z którymi będą prowadzane analizy.</w:t>
      </w:r>
    </w:p>
    <w:p w:rsidR="003A5A4A" w:rsidRPr="00CA45BB" w:rsidRDefault="003A5A4A" w:rsidP="00F200F6">
      <w:pPr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Dla najbardziej toksycznych gazów może być wymagane zamontowanie detektorów zarówno w obudowie aparatu, jak i w otwartym laboratorium w sąsiedztwie aparatu.</w:t>
      </w:r>
    </w:p>
    <w:p w:rsidR="003A5A4A" w:rsidRPr="00CA45BB" w:rsidRDefault="003A5A4A" w:rsidP="00F200F6">
      <w:pPr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 xml:space="preserve">Detektory mogą wymagać podłączenia do dodatkowych urządzeń zabezpieczających, takich jak zawory odcinające umieszczone bezpośrednio za butlą z gazem i alarmów dźwiękowych. </w:t>
      </w:r>
      <w:r w:rsidRPr="00CA45BB">
        <w:rPr>
          <w:rFonts w:ascii="Times New Roman" w:hAnsi="Times New Roman" w:cs="Times New Roman"/>
          <w:sz w:val="24"/>
          <w:szCs w:val="24"/>
        </w:rPr>
        <w:lastRenderedPageBreak/>
        <w:t>Detekcja powyżej określonego progu może wywołać alarm sygnalizujący ewakuację z laboratorium.</w:t>
      </w:r>
    </w:p>
    <w:p w:rsidR="003A5A4A" w:rsidRPr="00CA45BB" w:rsidRDefault="003A5A4A" w:rsidP="00F200F6">
      <w:pPr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Maksymalne dopuszczalne poziomy narażenia na toksyczne gazy muszą być brane pod uwagę zarówno w laboratorium, jak iw punkcie gdzie system ekstrakcji uwalnia gazy do środowiska. W ocenie ryzyka powinien być uwzględniony system ekstrakcji.</w:t>
      </w:r>
    </w:p>
    <w:p w:rsidR="003A5A4A" w:rsidRPr="00CA45BB" w:rsidRDefault="003A5A4A" w:rsidP="003A5A4A">
      <w:pPr>
        <w:rPr>
          <w:rFonts w:ascii="Times New Roman" w:hAnsi="Times New Roman" w:cs="Times New Roman"/>
          <w:b/>
          <w:sz w:val="24"/>
          <w:szCs w:val="24"/>
        </w:rPr>
      </w:pPr>
      <w:r w:rsidRPr="00CA45BB">
        <w:rPr>
          <w:rFonts w:ascii="Times New Roman" w:hAnsi="Times New Roman" w:cs="Times New Roman"/>
          <w:b/>
          <w:sz w:val="24"/>
          <w:szCs w:val="24"/>
        </w:rPr>
        <w:t>2.3 Zalecany laboratoryjny system odprowadzenia gazów</w:t>
      </w:r>
    </w:p>
    <w:p w:rsidR="003A5A4A" w:rsidRPr="00CA45BB" w:rsidRDefault="003A5A4A" w:rsidP="003A5A4A">
      <w:pPr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Zalecany materiał przewodu odprowadzającego gazy po reakcji to stal nierdzewna 316.</w:t>
      </w:r>
    </w:p>
    <w:p w:rsidR="003A5A4A" w:rsidRPr="00CA45BB" w:rsidRDefault="003A5A4A" w:rsidP="003A5A4A">
      <w:pPr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Zalecany przewód wylotowy powinien mieć minimalną średnicę rury ¼ cala.</w:t>
      </w:r>
    </w:p>
    <w:p w:rsidR="003A5A4A" w:rsidRPr="00CA45BB" w:rsidRDefault="003A5A4A" w:rsidP="003A5A4A">
      <w:pPr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Jeśli to możliwe, można dodać przejściówki do rurek do ½ lub ¾ cala lub więcej.</w:t>
      </w:r>
    </w:p>
    <w:p w:rsidR="003A5A4A" w:rsidRPr="00CA45BB" w:rsidRDefault="003A5A4A" w:rsidP="003A5A4A">
      <w:pPr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Dopasowanie rozmiarów rur powinno być wykonane jak najbliżej wylotu instrumentu.</w:t>
      </w:r>
    </w:p>
    <w:p w:rsidR="00D904E1" w:rsidRDefault="003A5A4A" w:rsidP="00F200F6">
      <w:pPr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Należy regularnie przeprowadzać kontrolę bezpieczeństwa linii, a w razie konieczności wymienić linię / osprzęt. Powinno to również obejmować wewnętrzne kontrole przewodów odprowadzających pod kątem zanieczyszczenia / osadów i ogólnej czystości.</w:t>
      </w:r>
    </w:p>
    <w:p w:rsidR="00F200F6" w:rsidRPr="00CA45BB" w:rsidRDefault="00F200F6" w:rsidP="00F200F6">
      <w:pPr>
        <w:rPr>
          <w:rFonts w:ascii="Times New Roman" w:hAnsi="Times New Roman" w:cs="Times New Roman"/>
          <w:sz w:val="24"/>
          <w:szCs w:val="24"/>
        </w:rPr>
      </w:pPr>
    </w:p>
    <w:p w:rsidR="00F8572D" w:rsidRPr="00CA45BB" w:rsidRDefault="00D904E1" w:rsidP="00EA062C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45BB">
        <w:rPr>
          <w:rFonts w:ascii="Times New Roman" w:hAnsi="Times New Roman" w:cs="Times New Roman"/>
          <w:b/>
          <w:sz w:val="24"/>
          <w:szCs w:val="24"/>
        </w:rPr>
        <w:t>Wstępne wytyczne dla pomieszczenia:</w:t>
      </w:r>
    </w:p>
    <w:p w:rsidR="00D904E1" w:rsidRPr="00CA45BB" w:rsidRDefault="00D904E1" w:rsidP="00D904E1">
      <w:pPr>
        <w:rPr>
          <w:rFonts w:ascii="Times New Roman" w:hAnsi="Times New Roman" w:cs="Times New Roman"/>
          <w:sz w:val="24"/>
          <w:szCs w:val="24"/>
          <w:u w:val="single"/>
        </w:rPr>
      </w:pPr>
      <w:r w:rsidRPr="00CA45BB">
        <w:rPr>
          <w:rFonts w:ascii="Times New Roman" w:hAnsi="Times New Roman" w:cs="Times New Roman"/>
          <w:sz w:val="24"/>
          <w:szCs w:val="24"/>
          <w:u w:val="single"/>
        </w:rPr>
        <w:t>Prace wewnątrz laboratorium 65:</w:t>
      </w:r>
    </w:p>
    <w:p w:rsidR="00D904E1" w:rsidRPr="00CA45BB" w:rsidRDefault="00D904E1" w:rsidP="00D904E1">
      <w:pPr>
        <w:pStyle w:val="Akapitzlist"/>
        <w:numPr>
          <w:ilvl w:val="0"/>
          <w:numId w:val="12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usunięcie wykładziny,</w:t>
      </w:r>
    </w:p>
    <w:p w:rsidR="00D904E1" w:rsidRPr="00CA45BB" w:rsidRDefault="00D904E1" w:rsidP="00D904E1">
      <w:pPr>
        <w:pStyle w:val="Akapitzlist"/>
        <w:numPr>
          <w:ilvl w:val="0"/>
          <w:numId w:val="12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oczyszczenie lastryka,</w:t>
      </w:r>
    </w:p>
    <w:p w:rsidR="00D904E1" w:rsidRPr="00CA45BB" w:rsidRDefault="00D904E1" w:rsidP="00D904E1">
      <w:pPr>
        <w:pStyle w:val="Akapitzlist"/>
        <w:numPr>
          <w:ilvl w:val="0"/>
          <w:numId w:val="12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postawienie ścianki działowej w miejsce uprzednio istniejącej (a wyburzonej podczas remontu budynku), zgodnie z istniejącym projektem budowlanym,</w:t>
      </w:r>
    </w:p>
    <w:p w:rsidR="00D904E1" w:rsidRPr="00CA45BB" w:rsidRDefault="00D904E1" w:rsidP="00D904E1">
      <w:pPr>
        <w:pStyle w:val="Akapitzlist"/>
        <w:numPr>
          <w:ilvl w:val="0"/>
          <w:numId w:val="12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wstawienie drzwi w zamurowany otwór drzwiowy (otwór został zamurowany podczas remontu budynku),</w:t>
      </w:r>
    </w:p>
    <w:p w:rsidR="00D904E1" w:rsidRPr="00CA45BB" w:rsidRDefault="00D904E1" w:rsidP="00D904E1">
      <w:pPr>
        <w:pStyle w:val="Akapitzlist"/>
        <w:numPr>
          <w:ilvl w:val="0"/>
          <w:numId w:val="12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wymiana okna (do wyjaśnienia),</w:t>
      </w:r>
    </w:p>
    <w:p w:rsidR="00D904E1" w:rsidRPr="00CA45BB" w:rsidRDefault="00D904E1" w:rsidP="00D904E1">
      <w:pPr>
        <w:pStyle w:val="Akapitzlist"/>
        <w:numPr>
          <w:ilvl w:val="0"/>
          <w:numId w:val="12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 xml:space="preserve">instalacja/ wymiana gniazd elektrycznych, włącznika światła, lamp, itd. zgodnie z wymaganiami producenta/dostawcy urządzenia </w:t>
      </w:r>
    </w:p>
    <w:p w:rsidR="00D904E1" w:rsidRPr="00CA45BB" w:rsidRDefault="00D904E1" w:rsidP="00D904E1">
      <w:pPr>
        <w:pStyle w:val="Akapitzlist"/>
        <w:numPr>
          <w:ilvl w:val="0"/>
          <w:numId w:val="12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 xml:space="preserve">instalacja kanału wentylacyjnego górnego do okapu/dygestorium oraz do wyciągu dolnego  (zgodnie z wytycznymi do dostosowania pomieszczenia dla analizatora sorpcji </w:t>
      </w:r>
      <w:proofErr w:type="spellStart"/>
      <w:r w:rsidRPr="00CA45BB">
        <w:rPr>
          <w:rFonts w:ascii="Times New Roman" w:hAnsi="Times New Roman" w:cs="Times New Roman"/>
          <w:sz w:val="24"/>
          <w:szCs w:val="24"/>
        </w:rPr>
        <w:t>Xemis</w:t>
      </w:r>
      <w:proofErr w:type="spellEnd"/>
      <w:r w:rsidRPr="00CA45BB">
        <w:rPr>
          <w:rFonts w:ascii="Times New Roman" w:hAnsi="Times New Roman" w:cs="Times New Roman"/>
          <w:sz w:val="24"/>
          <w:szCs w:val="24"/>
        </w:rPr>
        <w:t>)</w:t>
      </w:r>
    </w:p>
    <w:p w:rsidR="00D904E1" w:rsidRPr="00CA45BB" w:rsidRDefault="00D904E1" w:rsidP="00D904E1">
      <w:pPr>
        <w:pStyle w:val="Akapitzlist"/>
        <w:numPr>
          <w:ilvl w:val="0"/>
          <w:numId w:val="12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wykonanie zakotwienia urządzenia w podłodze</w:t>
      </w:r>
    </w:p>
    <w:p w:rsidR="00D904E1" w:rsidRPr="00CA45BB" w:rsidRDefault="00D904E1" w:rsidP="00D904E1">
      <w:pPr>
        <w:pStyle w:val="Akapitzlist"/>
        <w:numPr>
          <w:ilvl w:val="0"/>
          <w:numId w:val="12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doprowadzenie linii gazowych wraz ze stacją redukcyjną do analizatora</w:t>
      </w:r>
    </w:p>
    <w:p w:rsidR="00D904E1" w:rsidRPr="00CA45BB" w:rsidRDefault="00D904E1" w:rsidP="00D904E1">
      <w:pPr>
        <w:pStyle w:val="Akapitzlist"/>
        <w:numPr>
          <w:ilvl w:val="0"/>
          <w:numId w:val="12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renowacja ścian i sufitu</w:t>
      </w:r>
    </w:p>
    <w:p w:rsidR="00D904E1" w:rsidRPr="00CA45BB" w:rsidRDefault="00D904E1" w:rsidP="00D904E1">
      <w:pPr>
        <w:rPr>
          <w:rFonts w:ascii="Times New Roman" w:hAnsi="Times New Roman" w:cs="Times New Roman"/>
          <w:sz w:val="24"/>
          <w:szCs w:val="24"/>
          <w:u w:val="single"/>
        </w:rPr>
      </w:pPr>
      <w:r w:rsidRPr="00CA45BB">
        <w:rPr>
          <w:rFonts w:ascii="Times New Roman" w:hAnsi="Times New Roman" w:cs="Times New Roman"/>
          <w:sz w:val="24"/>
          <w:szCs w:val="24"/>
          <w:u w:val="single"/>
        </w:rPr>
        <w:t>Prace na zewnątrz laboratorium 65</w:t>
      </w:r>
    </w:p>
    <w:p w:rsidR="00D904E1" w:rsidRPr="00CA45BB" w:rsidRDefault="00D904E1" w:rsidP="00D904E1">
      <w:pPr>
        <w:pStyle w:val="Akapitzlist"/>
        <w:numPr>
          <w:ilvl w:val="0"/>
          <w:numId w:val="13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 xml:space="preserve">wykonanie układu </w:t>
      </w:r>
      <w:proofErr w:type="spellStart"/>
      <w:r w:rsidRPr="00CA45BB">
        <w:rPr>
          <w:rFonts w:ascii="Times New Roman" w:hAnsi="Times New Roman" w:cs="Times New Roman"/>
          <w:sz w:val="24"/>
          <w:szCs w:val="24"/>
        </w:rPr>
        <w:t>redukcyjno</w:t>
      </w:r>
      <w:proofErr w:type="spellEnd"/>
      <w:r w:rsidRPr="00CA45BB">
        <w:rPr>
          <w:rFonts w:ascii="Times New Roman" w:hAnsi="Times New Roman" w:cs="Times New Roman"/>
          <w:sz w:val="24"/>
          <w:szCs w:val="24"/>
        </w:rPr>
        <w:t>-dozującego gazy: H</w:t>
      </w:r>
      <w:r w:rsidRPr="00CA45BB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A45BB">
        <w:rPr>
          <w:rFonts w:ascii="Times New Roman" w:hAnsi="Times New Roman" w:cs="Times New Roman"/>
          <w:sz w:val="24"/>
          <w:szCs w:val="24"/>
        </w:rPr>
        <w:t>, CH</w:t>
      </w:r>
      <w:r w:rsidRPr="00CA45BB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CA45BB">
        <w:rPr>
          <w:rFonts w:ascii="Times New Roman" w:hAnsi="Times New Roman" w:cs="Times New Roman"/>
          <w:sz w:val="24"/>
          <w:szCs w:val="24"/>
        </w:rPr>
        <w:t>, He, CO</w:t>
      </w:r>
      <w:r w:rsidRPr="00CA45BB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A45BB">
        <w:rPr>
          <w:rFonts w:ascii="Times New Roman" w:hAnsi="Times New Roman" w:cs="Times New Roman"/>
          <w:sz w:val="24"/>
          <w:szCs w:val="24"/>
        </w:rPr>
        <w:t>, N</w:t>
      </w:r>
      <w:r w:rsidRPr="00CA45BB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A45BB">
        <w:rPr>
          <w:rFonts w:ascii="Times New Roman" w:hAnsi="Times New Roman" w:cs="Times New Roman"/>
          <w:sz w:val="24"/>
          <w:szCs w:val="24"/>
        </w:rPr>
        <w:t>, O</w:t>
      </w:r>
      <w:r w:rsidRPr="00CA45BB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A45BB">
        <w:rPr>
          <w:rFonts w:ascii="Times New Roman" w:hAnsi="Times New Roman" w:cs="Times New Roman"/>
          <w:sz w:val="24"/>
          <w:szCs w:val="24"/>
        </w:rPr>
        <w:t>, Ar, gazy kwaśne (np. SO</w:t>
      </w:r>
      <w:r w:rsidRPr="00CA45BB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A45B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A45BB">
        <w:rPr>
          <w:rFonts w:ascii="Times New Roman" w:hAnsi="Times New Roman" w:cs="Times New Roman"/>
          <w:sz w:val="24"/>
          <w:szCs w:val="24"/>
        </w:rPr>
        <w:t>NO</w:t>
      </w:r>
      <w:r w:rsidRPr="00CA45BB">
        <w:rPr>
          <w:rFonts w:ascii="Times New Roman" w:hAnsi="Times New Roman" w:cs="Times New Roman"/>
          <w:sz w:val="24"/>
          <w:szCs w:val="24"/>
          <w:vertAlign w:val="subscript"/>
        </w:rPr>
        <w:t>x</w:t>
      </w:r>
      <w:proofErr w:type="spellEnd"/>
      <w:r w:rsidRPr="00CA45BB">
        <w:rPr>
          <w:rFonts w:ascii="Times New Roman" w:hAnsi="Times New Roman" w:cs="Times New Roman"/>
          <w:sz w:val="24"/>
          <w:szCs w:val="24"/>
        </w:rPr>
        <w:t>)</w:t>
      </w:r>
    </w:p>
    <w:p w:rsidR="00D904E1" w:rsidRPr="00CA45BB" w:rsidRDefault="00D904E1" w:rsidP="00D904E1">
      <w:pPr>
        <w:pStyle w:val="Akapitzlist"/>
        <w:numPr>
          <w:ilvl w:val="0"/>
          <w:numId w:val="13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wykonanie powierzchni utwardzonej pod szafę z gazami stosowanymi w analizatorze,</w:t>
      </w:r>
    </w:p>
    <w:p w:rsidR="00DD6E21" w:rsidRDefault="00D904E1" w:rsidP="00DD6E21">
      <w:pPr>
        <w:pStyle w:val="Akapitzlist"/>
        <w:numPr>
          <w:ilvl w:val="0"/>
          <w:numId w:val="13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doprowadzenie gazów z szafy do analizatora.</w:t>
      </w:r>
    </w:p>
    <w:p w:rsidR="00F200F6" w:rsidRPr="00F200F6" w:rsidRDefault="00F200F6" w:rsidP="00F200F6">
      <w:pPr>
        <w:pStyle w:val="Akapitzlist"/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CA45BB" w:rsidRPr="006E0186" w:rsidRDefault="00DD6E21" w:rsidP="006E0186">
      <w:pPr>
        <w:pStyle w:val="Akapitzlist"/>
        <w:numPr>
          <w:ilvl w:val="0"/>
          <w:numId w:val="25"/>
        </w:num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E04FFE">
        <w:rPr>
          <w:rFonts w:ascii="Times New Roman" w:hAnsi="Times New Roman" w:cs="Times New Roman"/>
          <w:b/>
          <w:sz w:val="24"/>
          <w:szCs w:val="24"/>
        </w:rPr>
        <w:t>Załącznik grafi</w:t>
      </w:r>
      <w:r w:rsidR="00F200F6" w:rsidRPr="00E04FFE">
        <w:rPr>
          <w:rFonts w:ascii="Times New Roman" w:hAnsi="Times New Roman" w:cs="Times New Roman"/>
          <w:b/>
          <w:sz w:val="24"/>
          <w:szCs w:val="24"/>
        </w:rPr>
        <w:t>czny – rzut pomieszczeń budynku – Załącznik  2</w:t>
      </w:r>
      <w:bookmarkStart w:id="0" w:name="_GoBack"/>
      <w:bookmarkEnd w:id="0"/>
    </w:p>
    <w:sectPr w:rsidR="00CA45BB" w:rsidRPr="006E018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4B6F" w:rsidRDefault="001D4B6F" w:rsidP="006D28C6">
      <w:pPr>
        <w:spacing w:after="0" w:line="240" w:lineRule="auto"/>
      </w:pPr>
      <w:r>
        <w:separator/>
      </w:r>
    </w:p>
  </w:endnote>
  <w:endnote w:type="continuationSeparator" w:id="0">
    <w:p w:rsidR="001D4B6F" w:rsidRDefault="001D4B6F" w:rsidP="006D2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66291056"/>
      <w:docPartObj>
        <w:docPartGallery w:val="Page Numbers (Bottom of Page)"/>
        <w:docPartUnique/>
      </w:docPartObj>
    </w:sdtPr>
    <w:sdtEndPr/>
    <w:sdtContent>
      <w:p w:rsidR="006D28C6" w:rsidRDefault="006D28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0186">
          <w:rPr>
            <w:noProof/>
          </w:rPr>
          <w:t>5</w:t>
        </w:r>
        <w:r>
          <w:fldChar w:fldCharType="end"/>
        </w:r>
      </w:p>
    </w:sdtContent>
  </w:sdt>
  <w:p w:rsidR="006D28C6" w:rsidRDefault="006D28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4B6F" w:rsidRDefault="001D4B6F" w:rsidP="006D28C6">
      <w:pPr>
        <w:spacing w:after="0" w:line="240" w:lineRule="auto"/>
      </w:pPr>
      <w:r>
        <w:separator/>
      </w:r>
    </w:p>
  </w:footnote>
  <w:footnote w:type="continuationSeparator" w:id="0">
    <w:p w:rsidR="001D4B6F" w:rsidRDefault="001D4B6F" w:rsidP="006D28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45F07"/>
    <w:multiLevelType w:val="multilevel"/>
    <w:tmpl w:val="ED9403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BE57A1C"/>
    <w:multiLevelType w:val="hybridMultilevel"/>
    <w:tmpl w:val="CB2008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13B87"/>
    <w:multiLevelType w:val="hybridMultilevel"/>
    <w:tmpl w:val="B69630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5C0268"/>
    <w:multiLevelType w:val="hybridMultilevel"/>
    <w:tmpl w:val="FAFAFD10"/>
    <w:lvl w:ilvl="0" w:tplc="D61C8A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4DF6C77"/>
    <w:multiLevelType w:val="hybridMultilevel"/>
    <w:tmpl w:val="A2CE4D10"/>
    <w:lvl w:ilvl="0" w:tplc="D61C8A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6C3BFC"/>
    <w:multiLevelType w:val="hybridMultilevel"/>
    <w:tmpl w:val="E49E3A18"/>
    <w:lvl w:ilvl="0" w:tplc="D61C8A2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92A1C88"/>
    <w:multiLevelType w:val="multilevel"/>
    <w:tmpl w:val="7BD07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A16A55"/>
    <w:multiLevelType w:val="hybridMultilevel"/>
    <w:tmpl w:val="12EE8A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B76070"/>
    <w:multiLevelType w:val="hybridMultilevel"/>
    <w:tmpl w:val="2E1EB7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423D49"/>
    <w:multiLevelType w:val="hybridMultilevel"/>
    <w:tmpl w:val="912E29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BF54E8"/>
    <w:multiLevelType w:val="hybridMultilevel"/>
    <w:tmpl w:val="2728B402"/>
    <w:lvl w:ilvl="0" w:tplc="704A31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F9597C"/>
    <w:multiLevelType w:val="hybridMultilevel"/>
    <w:tmpl w:val="863E5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EE3D93"/>
    <w:multiLevelType w:val="hybridMultilevel"/>
    <w:tmpl w:val="CF9C30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243D04"/>
    <w:multiLevelType w:val="hybridMultilevel"/>
    <w:tmpl w:val="115687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447A27"/>
    <w:multiLevelType w:val="hybridMultilevel"/>
    <w:tmpl w:val="EC6EEE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776B8F"/>
    <w:multiLevelType w:val="hybridMultilevel"/>
    <w:tmpl w:val="4A0C32E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C71C08"/>
    <w:multiLevelType w:val="hybridMultilevel"/>
    <w:tmpl w:val="7FCE77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EF71CD"/>
    <w:multiLevelType w:val="hybridMultilevel"/>
    <w:tmpl w:val="48822BA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4D6B438F"/>
    <w:multiLevelType w:val="hybridMultilevel"/>
    <w:tmpl w:val="9AD66B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92344B"/>
    <w:multiLevelType w:val="hybridMultilevel"/>
    <w:tmpl w:val="DBAE63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2B709C"/>
    <w:multiLevelType w:val="hybridMultilevel"/>
    <w:tmpl w:val="E2D6AE0A"/>
    <w:lvl w:ilvl="0" w:tplc="0415000F">
      <w:start w:val="1"/>
      <w:numFmt w:val="decimal"/>
      <w:lvlText w:val="%1."/>
      <w:lvlJc w:val="left"/>
      <w:pPr>
        <w:ind w:left="815" w:hanging="360"/>
      </w:pPr>
    </w:lvl>
    <w:lvl w:ilvl="1" w:tplc="04150019" w:tentative="1">
      <w:start w:val="1"/>
      <w:numFmt w:val="lowerLetter"/>
      <w:lvlText w:val="%2."/>
      <w:lvlJc w:val="left"/>
      <w:pPr>
        <w:ind w:left="1535" w:hanging="360"/>
      </w:pPr>
    </w:lvl>
    <w:lvl w:ilvl="2" w:tplc="0415001B" w:tentative="1">
      <w:start w:val="1"/>
      <w:numFmt w:val="lowerRoman"/>
      <w:lvlText w:val="%3."/>
      <w:lvlJc w:val="right"/>
      <w:pPr>
        <w:ind w:left="2255" w:hanging="180"/>
      </w:pPr>
    </w:lvl>
    <w:lvl w:ilvl="3" w:tplc="0415000F" w:tentative="1">
      <w:start w:val="1"/>
      <w:numFmt w:val="decimal"/>
      <w:lvlText w:val="%4."/>
      <w:lvlJc w:val="left"/>
      <w:pPr>
        <w:ind w:left="2975" w:hanging="360"/>
      </w:pPr>
    </w:lvl>
    <w:lvl w:ilvl="4" w:tplc="04150019" w:tentative="1">
      <w:start w:val="1"/>
      <w:numFmt w:val="lowerLetter"/>
      <w:lvlText w:val="%5."/>
      <w:lvlJc w:val="left"/>
      <w:pPr>
        <w:ind w:left="3695" w:hanging="360"/>
      </w:pPr>
    </w:lvl>
    <w:lvl w:ilvl="5" w:tplc="0415001B" w:tentative="1">
      <w:start w:val="1"/>
      <w:numFmt w:val="lowerRoman"/>
      <w:lvlText w:val="%6."/>
      <w:lvlJc w:val="right"/>
      <w:pPr>
        <w:ind w:left="4415" w:hanging="180"/>
      </w:pPr>
    </w:lvl>
    <w:lvl w:ilvl="6" w:tplc="0415000F" w:tentative="1">
      <w:start w:val="1"/>
      <w:numFmt w:val="decimal"/>
      <w:lvlText w:val="%7."/>
      <w:lvlJc w:val="left"/>
      <w:pPr>
        <w:ind w:left="5135" w:hanging="360"/>
      </w:pPr>
    </w:lvl>
    <w:lvl w:ilvl="7" w:tplc="04150019" w:tentative="1">
      <w:start w:val="1"/>
      <w:numFmt w:val="lowerLetter"/>
      <w:lvlText w:val="%8."/>
      <w:lvlJc w:val="left"/>
      <w:pPr>
        <w:ind w:left="5855" w:hanging="360"/>
      </w:pPr>
    </w:lvl>
    <w:lvl w:ilvl="8" w:tplc="0415001B" w:tentative="1">
      <w:start w:val="1"/>
      <w:numFmt w:val="lowerRoman"/>
      <w:lvlText w:val="%9."/>
      <w:lvlJc w:val="right"/>
      <w:pPr>
        <w:ind w:left="6575" w:hanging="180"/>
      </w:pPr>
    </w:lvl>
  </w:abstractNum>
  <w:abstractNum w:abstractNumId="21" w15:restartNumberingAfterBreak="0">
    <w:nsid w:val="55253DF8"/>
    <w:multiLevelType w:val="hybridMultilevel"/>
    <w:tmpl w:val="12EE8A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A362F0"/>
    <w:multiLevelType w:val="hybridMultilevel"/>
    <w:tmpl w:val="CF9C34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E723F1"/>
    <w:multiLevelType w:val="hybridMultilevel"/>
    <w:tmpl w:val="FF70F276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4" w15:restartNumberingAfterBreak="0">
    <w:nsid w:val="70040FA3"/>
    <w:multiLevelType w:val="hybridMultilevel"/>
    <w:tmpl w:val="05247C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7D34D6"/>
    <w:multiLevelType w:val="hybridMultilevel"/>
    <w:tmpl w:val="50CE86E4"/>
    <w:lvl w:ilvl="0" w:tplc="D61C8A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F104D7"/>
    <w:multiLevelType w:val="multilevel"/>
    <w:tmpl w:val="095416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26"/>
  </w:num>
  <w:num w:numId="3">
    <w:abstractNumId w:val="23"/>
  </w:num>
  <w:num w:numId="4">
    <w:abstractNumId w:val="3"/>
  </w:num>
  <w:num w:numId="5">
    <w:abstractNumId w:val="25"/>
  </w:num>
  <w:num w:numId="6">
    <w:abstractNumId w:val="4"/>
  </w:num>
  <w:num w:numId="7">
    <w:abstractNumId w:val="5"/>
  </w:num>
  <w:num w:numId="8">
    <w:abstractNumId w:val="9"/>
  </w:num>
  <w:num w:numId="9">
    <w:abstractNumId w:val="24"/>
  </w:num>
  <w:num w:numId="10">
    <w:abstractNumId w:val="22"/>
  </w:num>
  <w:num w:numId="11">
    <w:abstractNumId w:val="12"/>
  </w:num>
  <w:num w:numId="12">
    <w:abstractNumId w:val="19"/>
  </w:num>
  <w:num w:numId="13">
    <w:abstractNumId w:val="11"/>
  </w:num>
  <w:num w:numId="14">
    <w:abstractNumId w:val="10"/>
  </w:num>
  <w:num w:numId="15">
    <w:abstractNumId w:val="6"/>
  </w:num>
  <w:num w:numId="16">
    <w:abstractNumId w:val="14"/>
  </w:num>
  <w:num w:numId="17">
    <w:abstractNumId w:val="16"/>
  </w:num>
  <w:num w:numId="18">
    <w:abstractNumId w:val="1"/>
  </w:num>
  <w:num w:numId="19">
    <w:abstractNumId w:val="20"/>
  </w:num>
  <w:num w:numId="20">
    <w:abstractNumId w:val="18"/>
  </w:num>
  <w:num w:numId="21">
    <w:abstractNumId w:val="17"/>
  </w:num>
  <w:num w:numId="22">
    <w:abstractNumId w:val="7"/>
  </w:num>
  <w:num w:numId="23">
    <w:abstractNumId w:val="0"/>
  </w:num>
  <w:num w:numId="24">
    <w:abstractNumId w:val="21"/>
  </w:num>
  <w:num w:numId="25">
    <w:abstractNumId w:val="15"/>
  </w:num>
  <w:num w:numId="26">
    <w:abstractNumId w:val="8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66F"/>
    <w:rsid w:val="00016FEC"/>
    <w:rsid w:val="00036A6B"/>
    <w:rsid w:val="00057BC3"/>
    <w:rsid w:val="00065C56"/>
    <w:rsid w:val="00073BF0"/>
    <w:rsid w:val="00092E1A"/>
    <w:rsid w:val="000A10C6"/>
    <w:rsid w:val="000B5235"/>
    <w:rsid w:val="0010442B"/>
    <w:rsid w:val="00104E3B"/>
    <w:rsid w:val="00112719"/>
    <w:rsid w:val="00115FAD"/>
    <w:rsid w:val="001232BE"/>
    <w:rsid w:val="001455A0"/>
    <w:rsid w:val="00161ED9"/>
    <w:rsid w:val="001D4B6F"/>
    <w:rsid w:val="002158D5"/>
    <w:rsid w:val="00231384"/>
    <w:rsid w:val="00282674"/>
    <w:rsid w:val="00304405"/>
    <w:rsid w:val="003414B1"/>
    <w:rsid w:val="003619B4"/>
    <w:rsid w:val="00374F4E"/>
    <w:rsid w:val="003A5A4A"/>
    <w:rsid w:val="004038C1"/>
    <w:rsid w:val="00414DC8"/>
    <w:rsid w:val="00442569"/>
    <w:rsid w:val="0045064F"/>
    <w:rsid w:val="00484AAE"/>
    <w:rsid w:val="00544806"/>
    <w:rsid w:val="00564B52"/>
    <w:rsid w:val="00564D71"/>
    <w:rsid w:val="005827C9"/>
    <w:rsid w:val="005962CE"/>
    <w:rsid w:val="006244C9"/>
    <w:rsid w:val="00633B16"/>
    <w:rsid w:val="006505DF"/>
    <w:rsid w:val="00652057"/>
    <w:rsid w:val="00675689"/>
    <w:rsid w:val="006D28C6"/>
    <w:rsid w:val="006E0186"/>
    <w:rsid w:val="006E2820"/>
    <w:rsid w:val="006F0555"/>
    <w:rsid w:val="00736990"/>
    <w:rsid w:val="0074725F"/>
    <w:rsid w:val="00760D1D"/>
    <w:rsid w:val="00781B24"/>
    <w:rsid w:val="007926DF"/>
    <w:rsid w:val="00832B6E"/>
    <w:rsid w:val="008D4D20"/>
    <w:rsid w:val="008E0BF6"/>
    <w:rsid w:val="008F57ED"/>
    <w:rsid w:val="008F5C7F"/>
    <w:rsid w:val="00923283"/>
    <w:rsid w:val="00962124"/>
    <w:rsid w:val="009F1ED9"/>
    <w:rsid w:val="009F7492"/>
    <w:rsid w:val="00A45FB9"/>
    <w:rsid w:val="00AA50E9"/>
    <w:rsid w:val="00AC7813"/>
    <w:rsid w:val="00AF1FF5"/>
    <w:rsid w:val="00B34551"/>
    <w:rsid w:val="00B43380"/>
    <w:rsid w:val="00B5566F"/>
    <w:rsid w:val="00B73AF7"/>
    <w:rsid w:val="00BA108E"/>
    <w:rsid w:val="00BC2C67"/>
    <w:rsid w:val="00BF6296"/>
    <w:rsid w:val="00C6039D"/>
    <w:rsid w:val="00C951D7"/>
    <w:rsid w:val="00CA45BB"/>
    <w:rsid w:val="00CC1821"/>
    <w:rsid w:val="00D46B4D"/>
    <w:rsid w:val="00D661E4"/>
    <w:rsid w:val="00D904E1"/>
    <w:rsid w:val="00DB20A0"/>
    <w:rsid w:val="00DB2264"/>
    <w:rsid w:val="00DB31AB"/>
    <w:rsid w:val="00DC738B"/>
    <w:rsid w:val="00DD6E21"/>
    <w:rsid w:val="00DE6831"/>
    <w:rsid w:val="00E04FFE"/>
    <w:rsid w:val="00E11D4C"/>
    <w:rsid w:val="00E354E7"/>
    <w:rsid w:val="00E3767A"/>
    <w:rsid w:val="00E616B4"/>
    <w:rsid w:val="00E634C9"/>
    <w:rsid w:val="00E67C30"/>
    <w:rsid w:val="00EA062C"/>
    <w:rsid w:val="00EE23D6"/>
    <w:rsid w:val="00EE7810"/>
    <w:rsid w:val="00F200F6"/>
    <w:rsid w:val="00F73BCC"/>
    <w:rsid w:val="00F7778C"/>
    <w:rsid w:val="00F8572D"/>
    <w:rsid w:val="00F91769"/>
    <w:rsid w:val="00FB5183"/>
    <w:rsid w:val="00FE3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18FCD"/>
  <w15:docId w15:val="{4707C20C-811D-43FA-AC62-BD3EA4365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56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5566F"/>
    <w:pPr>
      <w:ind w:left="720"/>
      <w:contextualSpacing/>
    </w:pPr>
  </w:style>
  <w:style w:type="paragraph" w:customStyle="1" w:styleId="Default">
    <w:name w:val="Default"/>
    <w:rsid w:val="00B5566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qFormat/>
    <w:rsid w:val="00B5566F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paragraph" w:styleId="Lista">
    <w:name w:val="List"/>
    <w:basedOn w:val="Normalny"/>
    <w:rsid w:val="00B5566F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B5566F"/>
    <w:pPr>
      <w:widowControl w:val="0"/>
      <w:suppressAutoHyphens/>
      <w:overflowPunct w:val="0"/>
      <w:autoSpaceDE w:val="0"/>
      <w:spacing w:after="0" w:line="360" w:lineRule="auto"/>
      <w:ind w:left="70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3A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3AF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736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D2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28C6"/>
  </w:style>
  <w:style w:type="paragraph" w:styleId="Stopka">
    <w:name w:val="footer"/>
    <w:basedOn w:val="Normalny"/>
    <w:link w:val="StopkaZnak"/>
    <w:uiPriority w:val="99"/>
    <w:unhideWhenUsed/>
    <w:rsid w:val="006D2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28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1732</Words>
  <Characters>10396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</dc:creator>
  <cp:lastModifiedBy>Marcin Malicki</cp:lastModifiedBy>
  <cp:revision>2</cp:revision>
  <cp:lastPrinted>2020-11-23T11:25:00Z</cp:lastPrinted>
  <dcterms:created xsi:type="dcterms:W3CDTF">2020-12-03T15:38:00Z</dcterms:created>
  <dcterms:modified xsi:type="dcterms:W3CDTF">2020-12-03T15:38:00Z</dcterms:modified>
</cp:coreProperties>
</file>