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D29" w:rsidRPr="00F457A4" w:rsidRDefault="009C7D29" w:rsidP="00DE5D3B">
      <w:pPr>
        <w:rPr>
          <w:b/>
          <w:sz w:val="28"/>
        </w:rPr>
      </w:pPr>
    </w:p>
    <w:p w:rsidR="009C7D29" w:rsidRPr="007057A3" w:rsidRDefault="009C7D29" w:rsidP="00DE5D3B">
      <w:pPr>
        <w:rPr>
          <w:b/>
          <w:sz w:val="24"/>
          <w:szCs w:val="24"/>
        </w:rPr>
      </w:pPr>
      <w:r w:rsidRPr="007057A3">
        <w:rPr>
          <w:b/>
          <w:sz w:val="24"/>
          <w:szCs w:val="24"/>
        </w:rPr>
        <w:t xml:space="preserve">Zadanie nr </w:t>
      </w:r>
      <w:r>
        <w:rPr>
          <w:b/>
          <w:sz w:val="24"/>
          <w:szCs w:val="24"/>
        </w:rPr>
        <w:t>3</w:t>
      </w:r>
      <w:r w:rsidRPr="007057A3">
        <w:rPr>
          <w:b/>
          <w:sz w:val="24"/>
          <w:szCs w:val="24"/>
        </w:rPr>
        <w:tab/>
      </w:r>
      <w:r w:rsidRPr="007057A3">
        <w:rPr>
          <w:b/>
          <w:sz w:val="24"/>
          <w:szCs w:val="24"/>
        </w:rPr>
        <w:tab/>
      </w:r>
      <w:r w:rsidRPr="007057A3">
        <w:rPr>
          <w:b/>
          <w:sz w:val="24"/>
          <w:szCs w:val="24"/>
        </w:rPr>
        <w:tab/>
      </w:r>
      <w:r w:rsidRPr="007057A3">
        <w:rPr>
          <w:b/>
          <w:sz w:val="24"/>
          <w:szCs w:val="24"/>
        </w:rPr>
        <w:tab/>
      </w:r>
      <w:r w:rsidRPr="007057A3">
        <w:rPr>
          <w:b/>
          <w:sz w:val="24"/>
          <w:szCs w:val="24"/>
        </w:rPr>
        <w:tab/>
      </w:r>
      <w:r w:rsidRPr="007057A3">
        <w:rPr>
          <w:b/>
          <w:sz w:val="24"/>
          <w:szCs w:val="24"/>
        </w:rPr>
        <w:tab/>
      </w:r>
      <w:r w:rsidRPr="007057A3">
        <w:rPr>
          <w:b/>
          <w:sz w:val="24"/>
          <w:szCs w:val="24"/>
        </w:rPr>
        <w:tab/>
      </w:r>
      <w:r w:rsidRPr="00DC0DA1">
        <w:rPr>
          <w:b/>
          <w:sz w:val="24"/>
          <w:szCs w:val="24"/>
        </w:rPr>
        <w:t>Załącznik nr</w:t>
      </w:r>
      <w:r>
        <w:rPr>
          <w:b/>
          <w:sz w:val="24"/>
          <w:szCs w:val="24"/>
        </w:rPr>
        <w:t xml:space="preserve"> 7 do SIWZ</w:t>
      </w: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9C7D29" w:rsidRPr="00F457A4" w:rsidRDefault="009C7D29" w:rsidP="00D83F35">
      <w:pPr>
        <w:jc w:val="right"/>
      </w:pPr>
    </w:p>
    <w:p w:rsidR="009C7D29" w:rsidRPr="00F457A4" w:rsidRDefault="009C7D29" w:rsidP="00D83F35">
      <w:pPr>
        <w:rPr>
          <w:b/>
          <w:sz w:val="28"/>
        </w:rPr>
      </w:pPr>
      <w:r w:rsidRPr="00F457A4">
        <w:rPr>
          <w:b/>
          <w:sz w:val="28"/>
        </w:rPr>
        <w:t>ZESTAWIENIE PARAMETRÓW GRANICZNYCH (ODCINAJĄCYCH)</w:t>
      </w:r>
    </w:p>
    <w:p w:rsidR="009C7D29" w:rsidRPr="00F457A4" w:rsidRDefault="009C7D29" w:rsidP="00D83F35"/>
    <w:p w:rsidR="009C7D29" w:rsidRPr="00F457A4" w:rsidRDefault="009C7D29" w:rsidP="00D83F35">
      <w:r w:rsidRPr="00F457A4">
        <w:t xml:space="preserve">Przedmiot przetargu:  </w:t>
      </w:r>
      <w:r w:rsidRPr="00F457A4">
        <w:rPr>
          <w:b/>
          <w:sz w:val="24"/>
          <w:szCs w:val="24"/>
        </w:rPr>
        <w:t xml:space="preserve">Pompy infuzyjne - </w:t>
      </w:r>
      <w:r>
        <w:rPr>
          <w:b/>
          <w:sz w:val="24"/>
          <w:szCs w:val="24"/>
        </w:rPr>
        <w:t>2</w:t>
      </w:r>
      <w:r w:rsidRPr="00F457A4">
        <w:rPr>
          <w:b/>
          <w:sz w:val="24"/>
          <w:szCs w:val="24"/>
        </w:rPr>
        <w:t xml:space="preserve"> szt.</w:t>
      </w:r>
    </w:p>
    <w:p w:rsidR="009C7D29" w:rsidRPr="00F457A4" w:rsidRDefault="009C7D29" w:rsidP="00D83F35">
      <w:r w:rsidRPr="00F457A4">
        <w:t>Producent/Firma:.........................................................................................................................................................</w:t>
      </w:r>
    </w:p>
    <w:p w:rsidR="009C7D29" w:rsidRPr="00F457A4" w:rsidRDefault="009C7D29" w:rsidP="00D83F35"/>
    <w:p w:rsidR="009C7D29" w:rsidRPr="00F457A4" w:rsidRDefault="009C7D29" w:rsidP="00D83F35">
      <w:r w:rsidRPr="00F457A4">
        <w:t>.....................................................................................................................................................................................</w:t>
      </w:r>
    </w:p>
    <w:p w:rsidR="009C7D29" w:rsidRPr="00F457A4" w:rsidRDefault="009C7D29" w:rsidP="00D83F35"/>
    <w:p w:rsidR="009C7D29" w:rsidRPr="00F457A4" w:rsidRDefault="009C7D29" w:rsidP="00D83F35">
      <w:r w:rsidRPr="00F457A4">
        <w:t>Urządzenie typ:...............................................................................................Rok produkcji..................................</w:t>
      </w:r>
    </w:p>
    <w:p w:rsidR="009C7D29" w:rsidRDefault="009C7D29" w:rsidP="00D83F35"/>
    <w:p w:rsidR="009C7D29" w:rsidRDefault="009C7D29" w:rsidP="006E300A">
      <w:pPr>
        <w:rPr>
          <w:b/>
        </w:rPr>
      </w:pPr>
      <w:bookmarkStart w:id="0" w:name="_Hlk25062397"/>
      <w:r>
        <w:rPr>
          <w:b/>
        </w:rPr>
        <w:t>UWAGA: Oferent wypełniając rubrykę „TAK/NIE/Oferowane parametry” powinien wpisywać w nie słowa „tak” lub „nie” oraz  podawać rzeczywiste wartości liczbowe bądź opis funkcjonalności poszczególnych parametrów technicznych.</w:t>
      </w:r>
      <w:bookmarkEnd w:id="0"/>
    </w:p>
    <w:p w:rsidR="009C7D29" w:rsidRDefault="009C7D29" w:rsidP="00D2661F">
      <w:pPr>
        <w:rPr>
          <w:b/>
        </w:rPr>
      </w:pPr>
      <w:r>
        <w:rPr>
          <w:b/>
          <w:u w:val="single"/>
        </w:rPr>
        <w:t>Oświadczenie:</w:t>
      </w:r>
      <w:r>
        <w:rPr>
          <w:b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p w:rsidR="009C7D29" w:rsidRPr="00F457A4" w:rsidRDefault="009C7D29" w:rsidP="00D2661F">
      <w:pPr>
        <w:rPr>
          <w:b/>
        </w:rPr>
      </w:pPr>
    </w:p>
    <w:tbl>
      <w:tblPr>
        <w:tblW w:w="99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72"/>
        <w:gridCol w:w="3613"/>
        <w:gridCol w:w="73"/>
        <w:gridCol w:w="2620"/>
        <w:gridCol w:w="2977"/>
      </w:tblGrid>
      <w:tr w:rsidR="009C7D29" w:rsidRPr="00F457A4" w:rsidTr="003D5507">
        <w:tc>
          <w:tcPr>
            <w:tcW w:w="637" w:type="dxa"/>
            <w:tcBorders>
              <w:top w:val="single" w:sz="12" w:space="0" w:color="auto"/>
              <w:bottom w:val="double" w:sz="6" w:space="0" w:color="auto"/>
            </w:tcBorders>
          </w:tcPr>
          <w:p w:rsidR="009C7D29" w:rsidRPr="00F457A4" w:rsidRDefault="009C7D29" w:rsidP="000E3EEC">
            <w:pPr>
              <w:spacing w:before="40" w:after="40"/>
              <w:jc w:val="right"/>
              <w:rPr>
                <w:b/>
              </w:rPr>
            </w:pPr>
            <w:r w:rsidRPr="00F457A4">
              <w:rPr>
                <w:b/>
              </w:rPr>
              <w:t>Lp.</w:t>
            </w:r>
          </w:p>
        </w:tc>
        <w:tc>
          <w:tcPr>
            <w:tcW w:w="3685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9C7D29" w:rsidRPr="00F457A4" w:rsidRDefault="009C7D29" w:rsidP="000E3EEC">
            <w:pPr>
              <w:spacing w:before="40" w:after="40"/>
              <w:jc w:val="center"/>
              <w:rPr>
                <w:b/>
              </w:rPr>
            </w:pPr>
            <w:r w:rsidRPr="00F457A4">
              <w:rPr>
                <w:b/>
              </w:rPr>
              <w:t>Parametr/Warunek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9C7D29" w:rsidRPr="00F457A4" w:rsidRDefault="009C7D29" w:rsidP="000E3EEC">
            <w:pPr>
              <w:spacing w:before="40" w:after="40"/>
              <w:jc w:val="center"/>
              <w:rPr>
                <w:b/>
              </w:rPr>
            </w:pPr>
            <w:r w:rsidRPr="00F457A4">
              <w:rPr>
                <w:b/>
              </w:rPr>
              <w:t>Warunek graniczny</w:t>
            </w:r>
          </w:p>
        </w:tc>
        <w:tc>
          <w:tcPr>
            <w:tcW w:w="2977" w:type="dxa"/>
            <w:tcBorders>
              <w:top w:val="single" w:sz="12" w:space="0" w:color="auto"/>
              <w:bottom w:val="double" w:sz="6" w:space="0" w:color="auto"/>
            </w:tcBorders>
          </w:tcPr>
          <w:p w:rsidR="009C7D29" w:rsidRPr="00F457A4" w:rsidRDefault="009C7D29" w:rsidP="000E3EEC">
            <w:pPr>
              <w:spacing w:before="40" w:after="40"/>
              <w:jc w:val="center"/>
              <w:rPr>
                <w:b/>
              </w:rPr>
            </w:pPr>
            <w:r w:rsidRPr="00F457A4">
              <w:rPr>
                <w:b/>
              </w:rPr>
              <w:t>Tak/Nie</w:t>
            </w:r>
            <w:r>
              <w:rPr>
                <w:b/>
              </w:rPr>
              <w:t>/Oferowane parametry</w:t>
            </w:r>
          </w:p>
        </w:tc>
      </w:tr>
      <w:tr w:rsidR="009C7D29" w:rsidRPr="00F457A4" w:rsidTr="003D5507">
        <w:tc>
          <w:tcPr>
            <w:tcW w:w="9992" w:type="dxa"/>
            <w:gridSpan w:val="6"/>
            <w:tcBorders>
              <w:top w:val="nil"/>
            </w:tcBorders>
          </w:tcPr>
          <w:p w:rsidR="009C7D29" w:rsidRPr="00F457A4" w:rsidRDefault="009C7D29" w:rsidP="000E3EEC">
            <w:pPr>
              <w:jc w:val="center"/>
              <w:rPr>
                <w:b/>
                <w:sz w:val="24"/>
                <w:szCs w:val="24"/>
              </w:rPr>
            </w:pPr>
            <w:r w:rsidRPr="00F457A4">
              <w:rPr>
                <w:b/>
                <w:sz w:val="24"/>
                <w:szCs w:val="24"/>
              </w:rPr>
              <w:t>Warunki ogólne i serwisowe</w:t>
            </w:r>
          </w:p>
        </w:tc>
      </w:tr>
      <w:tr w:rsidR="009C7D29" w:rsidRPr="00F457A4" w:rsidTr="003D5507">
        <w:tc>
          <w:tcPr>
            <w:tcW w:w="637" w:type="dxa"/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9C7D29" w:rsidRPr="00F457A4" w:rsidRDefault="009C7D29" w:rsidP="009D3F5D">
            <w:pPr>
              <w:rPr>
                <w:sz w:val="22"/>
                <w:szCs w:val="22"/>
              </w:rPr>
            </w:pPr>
            <w:r w:rsidRPr="00723A89">
              <w:rPr>
                <w:sz w:val="22"/>
                <w:szCs w:val="22"/>
              </w:rPr>
              <w:t xml:space="preserve">Oferowana aparatura musi być  fabrycznie nowa (aparatura nie używana, nie rekondycjonowana, nie powystawowa, wszystkie elementy składowe i podzespoły fabrycznie nowe) wyprodukowana </w:t>
            </w:r>
            <w:r w:rsidRPr="00D976B2">
              <w:rPr>
                <w:sz w:val="22"/>
                <w:szCs w:val="22"/>
              </w:rPr>
              <w:t xml:space="preserve">nie wcześniej niż w </w:t>
            </w:r>
            <w:r>
              <w:rPr>
                <w:sz w:val="22"/>
                <w:szCs w:val="22"/>
              </w:rPr>
              <w:t>roku 2019</w:t>
            </w:r>
            <w:r w:rsidRPr="00D976B2"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</w:p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637" w:type="dxa"/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9C7D29" w:rsidRPr="00F457A4" w:rsidRDefault="009C7D29" w:rsidP="004E4B3F">
            <w:pPr>
              <w:rPr>
                <w:spacing w:val="-3"/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Od Wykonawcy wymaga się zainstalowania dostarczonych urządzeń i przeszkolenia personelu medycznego w zakresie jego obsługi i przeszkolenia personelu technicznego</w:t>
            </w:r>
            <w:r>
              <w:rPr>
                <w:sz w:val="22"/>
                <w:szCs w:val="22"/>
              </w:rPr>
              <w:t xml:space="preserve"> </w:t>
            </w:r>
            <w:r w:rsidRPr="00F457A4">
              <w:rPr>
                <w:sz w:val="22"/>
                <w:szCs w:val="22"/>
              </w:rPr>
              <w:t>w zakresie obsługi technicznej.</w:t>
            </w:r>
          </w:p>
        </w:tc>
        <w:tc>
          <w:tcPr>
            <w:tcW w:w="2620" w:type="dxa"/>
          </w:tcPr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637" w:type="dxa"/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9C7D29" w:rsidRPr="00F457A4" w:rsidRDefault="009C7D29" w:rsidP="00385290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Dostarczona aparatura musi być bezwzględnie wyposażona we wszystkie niezbędne do prawidłowej pracy akcesoria, instrukcję obsługi w języku polskim i w wersji w języku angielskim, zestaw serwisowy zawierający pełną dokumentację serwisową w języku polskim lub angielskim.</w:t>
            </w:r>
          </w:p>
        </w:tc>
        <w:tc>
          <w:tcPr>
            <w:tcW w:w="2620" w:type="dxa"/>
          </w:tcPr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637" w:type="dxa"/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9C7D29" w:rsidRPr="00F457A4" w:rsidRDefault="009C7D29" w:rsidP="00156298">
            <w:pPr>
              <w:rPr>
                <w:sz w:val="22"/>
                <w:szCs w:val="22"/>
              </w:rPr>
            </w:pPr>
            <w:r w:rsidRPr="00723A89">
              <w:rPr>
                <w:sz w:val="22"/>
                <w:szCs w:val="22"/>
              </w:rPr>
              <w:t>Wykonawca musi zapewnić co najmniej 2 letnią gwarancję i maksymalnie 6-cio letnią gwarancję prawidłowego działania oferowanej aparatury, obejmującą części składowe i zamienne, wymagane opłaty licencyjne oraz serwis (pełna gwarancja)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</w:tcPr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637" w:type="dxa"/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Okres zagwarantowania dostępności i możliwości zakupu części zamiennych oraz wyposażenia eksploatacyjnego powinien wynosić minimum 10 lat od daty sprzedaży urządzeń.</w:t>
            </w:r>
          </w:p>
        </w:tc>
        <w:tc>
          <w:tcPr>
            <w:tcW w:w="2620" w:type="dxa"/>
          </w:tcPr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637" w:type="dxa"/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W przypadku stwierdzenia - w czasie okresu gwarancji lub w czasie </w:t>
            </w:r>
            <w:r>
              <w:rPr>
                <w:sz w:val="22"/>
                <w:szCs w:val="22"/>
              </w:rPr>
              <w:t xml:space="preserve">roku </w:t>
            </w:r>
            <w:r w:rsidRPr="00F457A4">
              <w:rPr>
                <w:sz w:val="22"/>
                <w:szCs w:val="22"/>
              </w:rPr>
              <w:t>po jej wygaśnięciu - braków w dokumentacji serwisowej lub oprogramowaniu serwisowym firma zobowiązuje się do jej uzupełnienia.</w:t>
            </w:r>
          </w:p>
        </w:tc>
        <w:tc>
          <w:tcPr>
            <w:tcW w:w="2620" w:type="dxa"/>
          </w:tcPr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637" w:type="dxa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W okresie trwania gwarancji w przypadku awarii aparatury trwającej dłuższej niż 3 dni wykonawca zobowiązany jest do przedłużenia okresu gwarancji o czas trwania awarii, a w przypadku awarii trwającej dłużej niż 7 dni oferent zobowiązuje się w okresie gwarancji do wstawienia urządzenia zastępczego</w:t>
            </w:r>
            <w:r>
              <w:rPr>
                <w:sz w:val="22"/>
                <w:szCs w:val="22"/>
              </w:rPr>
              <w:t xml:space="preserve"> (na własny koszt i ryzyko)</w:t>
            </w:r>
            <w:r w:rsidRPr="00F457A4"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</w:tcPr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 </w:t>
            </w:r>
          </w:p>
        </w:tc>
      </w:tr>
      <w:tr w:rsidR="009C7D29" w:rsidRPr="00F457A4" w:rsidTr="003D5507">
        <w:tc>
          <w:tcPr>
            <w:tcW w:w="637" w:type="dxa"/>
            <w:tcBorders>
              <w:bottom w:val="nil"/>
            </w:tcBorders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9C7D29" w:rsidRPr="00F457A4" w:rsidRDefault="009C7D29" w:rsidP="00516224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Czas reakcji serwisu w okresie gwarancji, (pojawienie się pracownika serwisu w miejscu awarii) maksimum 24 godziny w dni robocze</w:t>
            </w:r>
            <w:r>
              <w:rPr>
                <w:sz w:val="22"/>
                <w:szCs w:val="22"/>
              </w:rPr>
              <w:t>, od momentu zgłoszenia awarii.</w:t>
            </w:r>
          </w:p>
        </w:tc>
        <w:tc>
          <w:tcPr>
            <w:tcW w:w="2620" w:type="dxa"/>
            <w:tcBorders>
              <w:bottom w:val="nil"/>
            </w:tcBorders>
          </w:tcPr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637" w:type="dxa"/>
            <w:tcBorders>
              <w:bottom w:val="nil"/>
            </w:tcBorders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Czas skutecznej naprawy niewymagającej importu części – maksimum 3 dni robocze</w:t>
            </w:r>
            <w:r>
              <w:rPr>
                <w:sz w:val="22"/>
                <w:szCs w:val="22"/>
              </w:rPr>
              <w:t xml:space="preserve"> od momentu zgłoszenia awarii wraz z diagnostyką.</w:t>
            </w:r>
          </w:p>
        </w:tc>
        <w:tc>
          <w:tcPr>
            <w:tcW w:w="2620" w:type="dxa"/>
            <w:tcBorders>
              <w:bottom w:val="nil"/>
            </w:tcBorders>
          </w:tcPr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637" w:type="dxa"/>
            <w:tcBorders>
              <w:bottom w:val="nil"/>
            </w:tcBorders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Czas skutecznej naprawy wymagającej importu części – maksimum </w:t>
            </w:r>
            <w:r>
              <w:rPr>
                <w:sz w:val="22"/>
                <w:szCs w:val="22"/>
              </w:rPr>
              <w:t>7</w:t>
            </w:r>
            <w:r w:rsidRPr="00F457A4">
              <w:rPr>
                <w:sz w:val="22"/>
                <w:szCs w:val="22"/>
              </w:rPr>
              <w:t xml:space="preserve"> dni roboczych</w:t>
            </w:r>
            <w:r>
              <w:rPr>
                <w:sz w:val="22"/>
                <w:szCs w:val="22"/>
              </w:rPr>
              <w:t xml:space="preserve"> od momentu zgłoszenia awarii wraz z diagnostyką.</w:t>
            </w:r>
          </w:p>
        </w:tc>
        <w:tc>
          <w:tcPr>
            <w:tcW w:w="2620" w:type="dxa"/>
            <w:tcBorders>
              <w:bottom w:val="nil"/>
            </w:tcBorders>
          </w:tcPr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637" w:type="dxa"/>
            <w:tcBorders>
              <w:bottom w:val="nil"/>
            </w:tcBorders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9C7D29" w:rsidRPr="00F457A4" w:rsidRDefault="009C7D29" w:rsidP="00516224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W okresie gwarancji Wykonawca zobowiązany jest w cenie oferty do przeprowadzenia przeglądów technicznych zgodnie z zaleceniami producenta i testów bezpieczeństwa oferowanej  aparatury.</w:t>
            </w:r>
          </w:p>
        </w:tc>
        <w:tc>
          <w:tcPr>
            <w:tcW w:w="2620" w:type="dxa"/>
            <w:tcBorders>
              <w:bottom w:val="nil"/>
            </w:tcBorders>
          </w:tcPr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637" w:type="dxa"/>
            <w:tcBorders>
              <w:bottom w:val="nil"/>
            </w:tcBorders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9C7D29" w:rsidRPr="00F457A4" w:rsidRDefault="009C7D29" w:rsidP="00857165">
            <w:pPr>
              <w:rPr>
                <w:kern w:val="22"/>
              </w:rPr>
            </w:pPr>
            <w:r>
              <w:rPr>
                <w:sz w:val="22"/>
                <w:szCs w:val="22"/>
              </w:rPr>
              <w:t>Oferent przedstawi wykaz serwisów z autoryzacją producenta do serwisowania oferowanego urządzenia wraz z adresami i numerami telefonu kontaktowego do tych serwisów.</w:t>
            </w:r>
          </w:p>
        </w:tc>
        <w:tc>
          <w:tcPr>
            <w:tcW w:w="2620" w:type="dxa"/>
            <w:tcBorders>
              <w:bottom w:val="nil"/>
            </w:tcBorders>
          </w:tcPr>
          <w:p w:rsidR="009C7D29" w:rsidRPr="00F457A4" w:rsidRDefault="009C7D29" w:rsidP="00857165">
            <w:pPr>
              <w:jc w:val="center"/>
              <w:rPr>
                <w:kern w:val="22"/>
              </w:rPr>
            </w:pPr>
            <w:r w:rsidRPr="00F457A4">
              <w:rPr>
                <w:kern w:val="22"/>
              </w:rPr>
              <w:t>TAK</w:t>
            </w:r>
            <w:r>
              <w:rPr>
                <w:kern w:val="22"/>
              </w:rPr>
              <w:t>, podać</w:t>
            </w:r>
          </w:p>
        </w:tc>
        <w:tc>
          <w:tcPr>
            <w:tcW w:w="2977" w:type="dxa"/>
            <w:tcBorders>
              <w:bottom w:val="nil"/>
            </w:tcBorders>
          </w:tcPr>
          <w:p w:rsidR="009C7D29" w:rsidRPr="00F457A4" w:rsidRDefault="009C7D29" w:rsidP="00857165">
            <w:pPr>
              <w:rPr>
                <w:kern w:val="22"/>
              </w:rPr>
            </w:pPr>
          </w:p>
        </w:tc>
      </w:tr>
      <w:tr w:rsidR="009C7D29" w:rsidRPr="00F457A4" w:rsidTr="003D5507">
        <w:tc>
          <w:tcPr>
            <w:tcW w:w="637" w:type="dxa"/>
            <w:tcBorders>
              <w:bottom w:val="nil"/>
            </w:tcBorders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9C7D29" w:rsidRPr="00F457A4" w:rsidRDefault="009C7D29" w:rsidP="00156298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Oferowane urządzenia muszą spełniać obowiązujące wymogi związane z kompatybilnością elektromagnetyczną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tcBorders>
              <w:bottom w:val="nil"/>
            </w:tcBorders>
          </w:tcPr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9992" w:type="dxa"/>
            <w:gridSpan w:val="6"/>
          </w:tcPr>
          <w:p w:rsidR="009C7D29" w:rsidRPr="00F457A4" w:rsidRDefault="009C7D29" w:rsidP="000E3EEC">
            <w:pPr>
              <w:jc w:val="center"/>
              <w:rPr>
                <w:b/>
                <w:sz w:val="22"/>
                <w:szCs w:val="22"/>
              </w:rPr>
            </w:pPr>
            <w:r w:rsidRPr="00F457A4">
              <w:rPr>
                <w:b/>
                <w:sz w:val="22"/>
                <w:szCs w:val="22"/>
              </w:rPr>
              <w:t xml:space="preserve">Wymagania techniczne i użytkowe </w:t>
            </w: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pacing w:val="-4"/>
                <w:sz w:val="22"/>
                <w:szCs w:val="22"/>
              </w:rPr>
            </w:pPr>
            <w:r w:rsidRPr="00F457A4">
              <w:rPr>
                <w:spacing w:val="-4"/>
                <w:sz w:val="22"/>
                <w:szCs w:val="22"/>
              </w:rPr>
              <w:t>Pompa infuzyjna 1-strzykawkowa</w:t>
            </w:r>
          </w:p>
          <w:p w:rsidR="009C7D29" w:rsidRPr="00F457A4" w:rsidRDefault="009C7D29" w:rsidP="000E3EEC">
            <w:pPr>
              <w:snapToGrid w:val="0"/>
              <w:rPr>
                <w:spacing w:val="-4"/>
                <w:sz w:val="22"/>
                <w:szCs w:val="22"/>
              </w:rPr>
            </w:pPr>
            <w:r w:rsidRPr="00F457A4">
              <w:rPr>
                <w:spacing w:val="-4"/>
                <w:sz w:val="22"/>
                <w:szCs w:val="22"/>
              </w:rPr>
              <w:t>- możliwość ustawienia parametrów podaży dawki wysycającej przed każdą infuzją</w:t>
            </w:r>
          </w:p>
          <w:p w:rsidR="009C7D29" w:rsidRPr="00F457A4" w:rsidRDefault="009C7D29" w:rsidP="00D661C3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pacing w:val="-4"/>
                <w:sz w:val="22"/>
                <w:szCs w:val="22"/>
              </w:rPr>
              <w:t>- pompa programowalna umożliwiająca zadania: nazwy leku, rozcieńczenia leku, szybkości dawkowania, całkowitej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 w:rsidRPr="00F457A4">
              <w:rPr>
                <w:spacing w:val="-4"/>
                <w:sz w:val="22"/>
                <w:szCs w:val="22"/>
              </w:rPr>
              <w:t>objętości</w:t>
            </w:r>
            <w:r>
              <w:rPr>
                <w:spacing w:val="-4"/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SZTUKI</w:t>
            </w:r>
          </w:p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F457A4">
            <w:pPr>
              <w:snapToGrid w:val="0"/>
              <w:rPr>
                <w:spacing w:val="-4"/>
                <w:sz w:val="22"/>
                <w:szCs w:val="22"/>
              </w:rPr>
            </w:pPr>
            <w:r w:rsidRPr="00F457A4">
              <w:rPr>
                <w:spacing w:val="-4"/>
                <w:sz w:val="22"/>
                <w:szCs w:val="22"/>
              </w:rPr>
              <w:t>Pompa obsługująca niezależny tor podaży</w:t>
            </w:r>
            <w:r>
              <w:rPr>
                <w:spacing w:val="-4"/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D661C3" w:rsidRDefault="009C7D29" w:rsidP="000E3EEC">
            <w:pPr>
              <w:snapToGrid w:val="0"/>
              <w:rPr>
                <w:spacing w:val="-4"/>
                <w:sz w:val="21"/>
                <w:szCs w:val="21"/>
              </w:rPr>
            </w:pPr>
            <w:r w:rsidRPr="00D661C3">
              <w:rPr>
                <w:sz w:val="21"/>
                <w:szCs w:val="21"/>
              </w:rPr>
              <w:t>Brak wystających elementów, zwłaszcza tłoka strzykawki w szczególności przy pełnym jego wysunięciu (wmontowanie całej strzykawki do urządzenia) - celem uniknięcia podania przypadkowego podania bolusa oraz  uszkodzenia pompy.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F457A4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Możliwe jest stosowanie niskich przepływów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BB0C3D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Stosowanie strzykawek o objętościach min. 5, 10, 20, 30, 50/60 ml. 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BB0C3D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F457A4">
              <w:rPr>
                <w:rFonts w:eastAsia="TimesNewRomanPSMT"/>
                <w:sz w:val="22"/>
                <w:szCs w:val="22"/>
              </w:rPr>
              <w:t>Możliwość stosowania strzykawek</w:t>
            </w:r>
          </w:p>
          <w:p w:rsidR="009C7D29" w:rsidRPr="00F457A4" w:rsidRDefault="009C7D29" w:rsidP="00BB0C3D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F457A4">
              <w:rPr>
                <w:rFonts w:eastAsia="TimesNewRomanPSMT"/>
                <w:sz w:val="22"/>
                <w:szCs w:val="22"/>
              </w:rPr>
              <w:t>rożnych producentów krajowych i</w:t>
            </w:r>
          </w:p>
          <w:p w:rsidR="009C7D29" w:rsidRPr="00F457A4" w:rsidRDefault="009C7D29" w:rsidP="00BB0C3D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F457A4">
              <w:rPr>
                <w:rFonts w:eastAsia="TimesNewRomanPSMT"/>
                <w:sz w:val="22"/>
                <w:szCs w:val="22"/>
              </w:rPr>
              <w:t>zagranicznych</w:t>
            </w:r>
            <w:r>
              <w:rPr>
                <w:rFonts w:eastAsia="TimesNewRomanPSMT"/>
                <w:sz w:val="22"/>
                <w:szCs w:val="22"/>
              </w:rPr>
              <w:t xml:space="preserve"> </w:t>
            </w:r>
            <w:r w:rsidRPr="00F457A4">
              <w:rPr>
                <w:rFonts w:eastAsia="TimesNewRomanPSMT"/>
                <w:sz w:val="22"/>
                <w:szCs w:val="22"/>
              </w:rPr>
              <w:t>(minimum 5) - podać typ strzykawki i nazwy producentów</w:t>
            </w:r>
          </w:p>
          <w:p w:rsidR="009C7D29" w:rsidRPr="00F457A4" w:rsidRDefault="009C7D29" w:rsidP="00BB0C3D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rFonts w:eastAsia="TimesNewRomanPSMT"/>
                <w:sz w:val="22"/>
                <w:szCs w:val="22"/>
              </w:rPr>
              <w:t>wykorzystywanych strzykawek</w:t>
            </w:r>
            <w:r>
              <w:rPr>
                <w:rFonts w:eastAsia="TimesNewRomanPSMT"/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D661C3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Automatyczne rozpoznawanie  objętości strzykawki</w:t>
            </w:r>
            <w:r>
              <w:rPr>
                <w:sz w:val="22"/>
                <w:szCs w:val="22"/>
              </w:rPr>
              <w:t xml:space="preserve"> i możliwość programowania dla nowych rodzajów strzykawek (ponadstandardowych).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815B89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Programowany zakres prędkości podaży w zakresie min od 0,1 do 1200 ml/h (dla określonego rozmiaru strzykawki)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Zmiana szybkości infuzji bez konieczności przerywania wlewu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Bolus manualny i automatyczny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Programowanie parametrów podaży Bolus-a:</w:t>
            </w:r>
          </w:p>
          <w:p w:rsidR="009C7D29" w:rsidRPr="00F457A4" w:rsidRDefault="009C7D29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objętość / dawka</w:t>
            </w:r>
          </w:p>
          <w:p w:rsidR="009C7D29" w:rsidRPr="00F457A4" w:rsidRDefault="009C7D29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czas lub szybkość podaży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Zmiana parametrów Bolus-a bez wstrzymywania infuzji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Programowane parametry podaży dawki indukcyjnej:</w:t>
            </w:r>
          </w:p>
          <w:p w:rsidR="009C7D29" w:rsidRPr="00F457A4" w:rsidRDefault="009C7D29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objętość / dawka</w:t>
            </w:r>
          </w:p>
          <w:p w:rsidR="009C7D29" w:rsidRPr="00F457A4" w:rsidRDefault="009C7D29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czas lub szybkość podaży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Klawiatura numeryczna do wprowadzania wartości parametrów infuzji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Biblioteka leków – możliwość zapisania  w pompie procedur dozowania leków złożonych co najmniej z:</w:t>
            </w:r>
          </w:p>
          <w:p w:rsidR="009C7D29" w:rsidRPr="00F457A4" w:rsidRDefault="009C7D29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nazwy leku</w:t>
            </w:r>
          </w:p>
          <w:p w:rsidR="009C7D29" w:rsidRPr="00F457A4" w:rsidRDefault="009C7D29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koncentracji leku</w:t>
            </w:r>
          </w:p>
          <w:p w:rsidR="009C7D29" w:rsidRPr="00F457A4" w:rsidRDefault="009C7D29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szybkości dozowania (dawkowanie)</w:t>
            </w:r>
          </w:p>
          <w:p w:rsidR="009C7D29" w:rsidRPr="00F457A4" w:rsidRDefault="009C7D29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całkowitej objętości (dawki) infuzji</w:t>
            </w:r>
          </w:p>
          <w:p w:rsidR="009C7D29" w:rsidRPr="00F457A4" w:rsidRDefault="009C7D29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parametrów bolusa (objętości / dawki i czasu podaży)</w:t>
            </w:r>
          </w:p>
          <w:p w:rsidR="009C7D29" w:rsidRPr="00F457A4" w:rsidRDefault="009C7D29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parametrów dawki indukcyjnej (jak dla bolusa)</w:t>
            </w:r>
          </w:p>
          <w:p w:rsidR="009C7D29" w:rsidRPr="00F457A4" w:rsidRDefault="009C7D29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limitów dla wszystkich wymienionych parametrów infuzji:</w:t>
            </w:r>
          </w:p>
          <w:p w:rsidR="009C7D29" w:rsidRPr="00F457A4" w:rsidRDefault="009C7D29" w:rsidP="00D83F35">
            <w:pPr>
              <w:numPr>
                <w:ilvl w:val="1"/>
                <w:numId w:val="3"/>
              </w:numPr>
              <w:tabs>
                <w:tab w:val="clear" w:pos="1080"/>
                <w:tab w:val="num" w:pos="666"/>
              </w:tabs>
              <w:suppressAutoHyphens/>
              <w:snapToGrid w:val="0"/>
              <w:ind w:left="666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miękkich, ostrzegających o przekroczeniu zalecanych wartości parametrów, </w:t>
            </w:r>
          </w:p>
          <w:p w:rsidR="009C7D29" w:rsidRPr="00F457A4" w:rsidRDefault="009C7D29" w:rsidP="00D83F35">
            <w:pPr>
              <w:numPr>
                <w:ilvl w:val="1"/>
                <w:numId w:val="3"/>
              </w:numPr>
              <w:tabs>
                <w:tab w:val="clear" w:pos="1080"/>
                <w:tab w:val="num" w:pos="666"/>
              </w:tabs>
              <w:suppressAutoHyphens/>
              <w:snapToGrid w:val="0"/>
              <w:ind w:left="666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twardych – blokujących możliwość wprowadzenia wartości z poza ich zakresu</w:t>
            </w:r>
          </w:p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Pojemność biblioteki min. 110 leków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Regulowany próg ciśnienia okluzji – min. 5 poziomów.</w:t>
            </w:r>
          </w:p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620" w:type="dxa"/>
            <w:vAlign w:val="center"/>
          </w:tcPr>
          <w:p w:rsidR="009C7D29" w:rsidRPr="003E3664" w:rsidRDefault="009C7D29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3E366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Zmiana progu ciśnienia okluzji bez przerywania infuzji.</w:t>
            </w:r>
          </w:p>
        </w:tc>
        <w:tc>
          <w:tcPr>
            <w:tcW w:w="2620" w:type="dxa"/>
            <w:vAlign w:val="center"/>
          </w:tcPr>
          <w:p w:rsidR="009C7D29" w:rsidRPr="003E3664" w:rsidRDefault="009C7D29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3E366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Automatyczna redukcja bolusa okluzyjnego.</w:t>
            </w:r>
          </w:p>
        </w:tc>
        <w:tc>
          <w:tcPr>
            <w:tcW w:w="2620" w:type="dxa"/>
            <w:vAlign w:val="center"/>
          </w:tcPr>
          <w:p w:rsidR="009C7D29" w:rsidRPr="003E3664" w:rsidRDefault="009C7D29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3E366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Rozbudowany system alarmów składający się co najmniej z alarmów dotyczących następujących zdarzeń:</w:t>
            </w:r>
          </w:p>
          <w:p w:rsidR="009C7D29" w:rsidRPr="00F457A4" w:rsidRDefault="009C7D29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5 min do opróżnienia strzykawki</w:t>
            </w:r>
          </w:p>
          <w:p w:rsidR="009C7D29" w:rsidRPr="00F457A4" w:rsidRDefault="009C7D29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pusta strzykawka</w:t>
            </w:r>
          </w:p>
          <w:p w:rsidR="009C7D29" w:rsidRPr="00F457A4" w:rsidRDefault="009C7D29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5 min do końca infuzji</w:t>
            </w:r>
          </w:p>
          <w:p w:rsidR="009C7D29" w:rsidRPr="00F457A4" w:rsidRDefault="009C7D29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koniec infuzji</w:t>
            </w:r>
          </w:p>
          <w:p w:rsidR="009C7D29" w:rsidRPr="00F457A4" w:rsidRDefault="009C7D29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nieprawidłowe mocowanie strzykawki</w:t>
            </w:r>
          </w:p>
          <w:p w:rsidR="009C7D29" w:rsidRPr="00F457A4" w:rsidRDefault="009C7D29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okluzja</w:t>
            </w:r>
          </w:p>
          <w:p w:rsidR="009C7D29" w:rsidRPr="00F457A4" w:rsidRDefault="009C7D29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30 min do rozładowania akumulatora</w:t>
            </w:r>
          </w:p>
          <w:p w:rsidR="009C7D29" w:rsidRPr="00F457A4" w:rsidRDefault="009C7D29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akumulator rozładowany</w:t>
            </w:r>
          </w:p>
          <w:p w:rsidR="009C7D29" w:rsidRPr="00F457A4" w:rsidRDefault="009C7D29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pompa uszkodzona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3E3664" w:rsidRDefault="009C7D29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3E366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Historia infuzji – min. 2000 wpisów z datą i godziną zdarzenia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Czas pracy z akumulatora min. 15 h przy infuzji 5ml/h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Czas ładowania akumulatora do 100% po pełnym rozładowaniu maks 6 h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Mocowanie pompy do pionowych kolumn, statywów oraz stacji dokujących bez konieczności zmiany lub demontażu uchwytu mocującego lub jakichkolwiek innych części.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Uchwyt do przenoszenia pompy nie wymagający demontażu przy mocowaniu pomp w stacjach dokujących.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Instalacja pompy w stacji dokującej:</w:t>
            </w:r>
          </w:p>
          <w:p w:rsidR="009C7D29" w:rsidRPr="00F457A4" w:rsidRDefault="009C7D29" w:rsidP="00D83F35">
            <w:pPr>
              <w:numPr>
                <w:ilvl w:val="0"/>
                <w:numId w:val="5"/>
              </w:numPr>
              <w:suppressAutoHyphens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pompy mocowane niezależnie, jedna nad drugą, </w:t>
            </w:r>
          </w:p>
          <w:p w:rsidR="009C7D29" w:rsidRPr="00F457A4" w:rsidRDefault="009C7D29" w:rsidP="00D83F35">
            <w:pPr>
              <w:numPr>
                <w:ilvl w:val="0"/>
                <w:numId w:val="5"/>
              </w:numPr>
              <w:suppressAutoHyphens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automatyczne przyłączenie zasilania ze stacji dokującej,</w:t>
            </w:r>
          </w:p>
          <w:p w:rsidR="009C7D29" w:rsidRPr="00F457A4" w:rsidRDefault="009C7D29" w:rsidP="00D83F35">
            <w:pPr>
              <w:numPr>
                <w:ilvl w:val="0"/>
                <w:numId w:val="5"/>
              </w:numPr>
              <w:suppressAutoHyphens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automatyczne przyłączenie portu komunikacyjnego ze stacji dokującej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Zasilanie pomp mocowanych poza stacją dokującą bezpośrednio z sieci energetycznej – niedopuszczalny jest zasilacz zewnętrzny.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Wyświetlacz, na którym w czasie infuzji stale  wyświetlane są min. następujące informacje:</w:t>
            </w:r>
          </w:p>
          <w:p w:rsidR="009C7D29" w:rsidRPr="00F457A4" w:rsidRDefault="009C7D29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nazwa leku,</w:t>
            </w:r>
          </w:p>
          <w:p w:rsidR="009C7D29" w:rsidRPr="00F457A4" w:rsidRDefault="009C7D29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szybkość dozowania (dawkowanie) leku</w:t>
            </w:r>
          </w:p>
          <w:p w:rsidR="009C7D29" w:rsidRPr="00F457A4" w:rsidRDefault="009C7D29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poziom ciśnienia dozowania wraz z wybranym progiem alarmu okluzji,</w:t>
            </w:r>
          </w:p>
          <w:p w:rsidR="009C7D29" w:rsidRPr="00F457A4" w:rsidRDefault="009C7D29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typ wybranej do infuzji strzykawki,</w:t>
            </w:r>
          </w:p>
          <w:p w:rsidR="009C7D29" w:rsidRPr="00F457A4" w:rsidRDefault="009C7D29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stan naładowania akumulatora.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Napisy na wyświetlaczu w języku polskim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Waga do </w:t>
            </w:r>
            <w:smartTag w:uri="urn:schemas-microsoft-com:office:smarttags" w:element="metricconverter">
              <w:smartTagPr>
                <w:attr w:name="ProductID" w:val="4,5 kg"/>
              </w:smartTagPr>
              <w:r w:rsidRPr="00F457A4">
                <w:rPr>
                  <w:sz w:val="22"/>
                  <w:szCs w:val="22"/>
                </w:rPr>
                <w:t>4,5 kg</w:t>
              </w:r>
            </w:smartTag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Klasa ochronności: I</w:t>
            </w:r>
            <w:r>
              <w:rPr>
                <w:sz w:val="22"/>
                <w:szCs w:val="22"/>
              </w:rPr>
              <w:t>I</w:t>
            </w:r>
            <w:r w:rsidRPr="00F457A4">
              <w:rPr>
                <w:sz w:val="22"/>
                <w:szCs w:val="22"/>
              </w:rPr>
              <w:t>, typ CF, IP</w:t>
            </w:r>
            <w:r>
              <w:rPr>
                <w:sz w:val="22"/>
                <w:szCs w:val="22"/>
              </w:rPr>
              <w:t>2</w:t>
            </w:r>
            <w:r w:rsidRPr="00F457A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  <w:tr w:rsidR="009C7D29" w:rsidRPr="00F457A4" w:rsidTr="003D5507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9C7D29" w:rsidRPr="00F457A4" w:rsidRDefault="009C7D29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tcBorders>
              <w:bottom w:val="single" w:sz="12" w:space="0" w:color="auto"/>
            </w:tcBorders>
            <w:vAlign w:val="center"/>
          </w:tcPr>
          <w:p w:rsidR="009C7D29" w:rsidRDefault="009C7D29" w:rsidP="000E3EEC">
            <w:pPr>
              <w:snapToGrid w:val="0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Zasilanie </w:t>
            </w:r>
            <w:r>
              <w:rPr>
                <w:sz w:val="22"/>
                <w:szCs w:val="22"/>
              </w:rPr>
              <w:t>10</w:t>
            </w:r>
            <w:r w:rsidRPr="00F457A4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(-10%) – 230 (+10%)</w:t>
            </w:r>
            <w:r w:rsidRPr="00F457A4">
              <w:rPr>
                <w:sz w:val="22"/>
                <w:szCs w:val="22"/>
              </w:rPr>
              <w:t xml:space="preserve"> V AC, 50</w:t>
            </w:r>
            <w:r>
              <w:rPr>
                <w:sz w:val="22"/>
                <w:szCs w:val="22"/>
              </w:rPr>
              <w:t>/60</w:t>
            </w:r>
            <w:r w:rsidRPr="00F457A4">
              <w:rPr>
                <w:sz w:val="22"/>
                <w:szCs w:val="22"/>
              </w:rPr>
              <w:t xml:space="preserve"> Hz oraz</w:t>
            </w:r>
          </w:p>
          <w:p w:rsidR="009C7D29" w:rsidRPr="00F457A4" w:rsidRDefault="009C7D29" w:rsidP="000E3EE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V – 15 V DC (+0.5 V, -0.5 V).</w:t>
            </w:r>
          </w:p>
        </w:tc>
        <w:tc>
          <w:tcPr>
            <w:tcW w:w="2620" w:type="dxa"/>
            <w:tcBorders>
              <w:bottom w:val="single" w:sz="12" w:space="0" w:color="auto"/>
            </w:tcBorders>
            <w:vAlign w:val="center"/>
          </w:tcPr>
          <w:p w:rsidR="009C7D29" w:rsidRPr="00F457A4" w:rsidRDefault="009C7D29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single" w:sz="12" w:space="0" w:color="auto"/>
            </w:tcBorders>
          </w:tcPr>
          <w:p w:rsidR="009C7D29" w:rsidRPr="00F457A4" w:rsidRDefault="009C7D29" w:rsidP="000E3EEC">
            <w:pPr>
              <w:rPr>
                <w:sz w:val="22"/>
                <w:szCs w:val="22"/>
              </w:rPr>
            </w:pPr>
          </w:p>
        </w:tc>
      </w:tr>
    </w:tbl>
    <w:p w:rsidR="009C7D29" w:rsidRDefault="009C7D29" w:rsidP="00D83F35">
      <w:pPr>
        <w:rPr>
          <w:sz w:val="22"/>
          <w:szCs w:val="22"/>
        </w:rPr>
      </w:pPr>
    </w:p>
    <w:p w:rsidR="009C7D29" w:rsidRDefault="009C7D29" w:rsidP="00D83F35">
      <w:pPr>
        <w:rPr>
          <w:sz w:val="22"/>
          <w:szCs w:val="22"/>
        </w:rPr>
      </w:pPr>
    </w:p>
    <w:p w:rsidR="009C7D29" w:rsidRDefault="009C7D29" w:rsidP="006E300A"/>
    <w:p w:rsidR="009C7D29" w:rsidRDefault="009C7D29" w:rsidP="006E300A"/>
    <w:p w:rsidR="009C7D29" w:rsidRDefault="009C7D29" w:rsidP="006E300A">
      <w:pPr>
        <w:ind w:left="7371"/>
      </w:pPr>
      <w:bookmarkStart w:id="1" w:name="_Hlk13820202"/>
      <w:r>
        <w:t>................................</w:t>
      </w:r>
    </w:p>
    <w:p w:rsidR="009C7D29" w:rsidRDefault="009C7D29" w:rsidP="006E300A">
      <w:pPr>
        <w:ind w:left="7371"/>
      </w:pPr>
      <w:r>
        <w:t>Podpis Wykonawcy</w:t>
      </w:r>
      <w:bookmarkEnd w:id="1"/>
    </w:p>
    <w:p w:rsidR="009C7D29" w:rsidRPr="00F457A4" w:rsidRDefault="009C7D29"/>
    <w:sectPr w:rsidR="009C7D29" w:rsidRPr="00F457A4" w:rsidSect="000155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D29" w:rsidRDefault="009C7D29" w:rsidP="00DE5D3B">
      <w:r>
        <w:separator/>
      </w:r>
    </w:p>
  </w:endnote>
  <w:endnote w:type="continuationSeparator" w:id="0">
    <w:p w:rsidR="009C7D29" w:rsidRDefault="009C7D29" w:rsidP="00DE5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D29" w:rsidRDefault="009C7D2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D29" w:rsidRDefault="009C7D2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D29" w:rsidRDefault="009C7D2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D29" w:rsidRDefault="009C7D29" w:rsidP="00DE5D3B">
      <w:r>
        <w:separator/>
      </w:r>
    </w:p>
  </w:footnote>
  <w:footnote w:type="continuationSeparator" w:id="0">
    <w:p w:rsidR="009C7D29" w:rsidRDefault="009C7D29" w:rsidP="00DE5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D29" w:rsidRDefault="009C7D2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D29" w:rsidRDefault="009C7D2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464.25pt;height:52.5pt;visibility:visibl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D29" w:rsidRDefault="009C7D2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A5EDF"/>
    <w:multiLevelType w:val="hybridMultilevel"/>
    <w:tmpl w:val="D43C7AE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805574"/>
    <w:multiLevelType w:val="hybridMultilevel"/>
    <w:tmpl w:val="182C9F3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9C1053B"/>
    <w:multiLevelType w:val="hybridMultilevel"/>
    <w:tmpl w:val="8A2E72C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DB51221"/>
    <w:multiLevelType w:val="hybridMultilevel"/>
    <w:tmpl w:val="3C62D53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4713B4E"/>
    <w:multiLevelType w:val="hybridMultilevel"/>
    <w:tmpl w:val="5BA65178"/>
    <w:lvl w:ilvl="0" w:tplc="2EA4921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862349C"/>
    <w:multiLevelType w:val="hybridMultilevel"/>
    <w:tmpl w:val="27C62EA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F35"/>
    <w:rsid w:val="00001306"/>
    <w:rsid w:val="00005B03"/>
    <w:rsid w:val="0001311D"/>
    <w:rsid w:val="00015526"/>
    <w:rsid w:val="000303A6"/>
    <w:rsid w:val="00031B0B"/>
    <w:rsid w:val="00032DA1"/>
    <w:rsid w:val="00081A97"/>
    <w:rsid w:val="000E3EEC"/>
    <w:rsid w:val="00106262"/>
    <w:rsid w:val="00156298"/>
    <w:rsid w:val="00170B34"/>
    <w:rsid w:val="00183E1B"/>
    <w:rsid w:val="00196672"/>
    <w:rsid w:val="00200664"/>
    <w:rsid w:val="00212A83"/>
    <w:rsid w:val="00233D24"/>
    <w:rsid w:val="00255070"/>
    <w:rsid w:val="00261614"/>
    <w:rsid w:val="00280157"/>
    <w:rsid w:val="00285879"/>
    <w:rsid w:val="0029246C"/>
    <w:rsid w:val="0029710B"/>
    <w:rsid w:val="002C5AAA"/>
    <w:rsid w:val="002F755F"/>
    <w:rsid w:val="00347677"/>
    <w:rsid w:val="00383DFD"/>
    <w:rsid w:val="00385290"/>
    <w:rsid w:val="003C45A6"/>
    <w:rsid w:val="003D5507"/>
    <w:rsid w:val="003E3664"/>
    <w:rsid w:val="00455649"/>
    <w:rsid w:val="00467B64"/>
    <w:rsid w:val="004906A5"/>
    <w:rsid w:val="004E4B3F"/>
    <w:rsid w:val="00500B90"/>
    <w:rsid w:val="005133BA"/>
    <w:rsid w:val="00516224"/>
    <w:rsid w:val="00522316"/>
    <w:rsid w:val="00581B3D"/>
    <w:rsid w:val="00587BCE"/>
    <w:rsid w:val="005E4955"/>
    <w:rsid w:val="0061632B"/>
    <w:rsid w:val="00620B1A"/>
    <w:rsid w:val="006766CD"/>
    <w:rsid w:val="00683283"/>
    <w:rsid w:val="006B6770"/>
    <w:rsid w:val="006C1A87"/>
    <w:rsid w:val="006C646B"/>
    <w:rsid w:val="006E300A"/>
    <w:rsid w:val="006E4B82"/>
    <w:rsid w:val="006F4A3C"/>
    <w:rsid w:val="007057A3"/>
    <w:rsid w:val="00723A89"/>
    <w:rsid w:val="00726540"/>
    <w:rsid w:val="0074086E"/>
    <w:rsid w:val="00787873"/>
    <w:rsid w:val="00793088"/>
    <w:rsid w:val="007E3815"/>
    <w:rsid w:val="00806DD9"/>
    <w:rsid w:val="00815B89"/>
    <w:rsid w:val="00816027"/>
    <w:rsid w:val="00825E7B"/>
    <w:rsid w:val="008300E0"/>
    <w:rsid w:val="0084428E"/>
    <w:rsid w:val="00857165"/>
    <w:rsid w:val="00880D85"/>
    <w:rsid w:val="00884FDA"/>
    <w:rsid w:val="008874A3"/>
    <w:rsid w:val="00895C3F"/>
    <w:rsid w:val="008A0FEC"/>
    <w:rsid w:val="008E0624"/>
    <w:rsid w:val="008F14F3"/>
    <w:rsid w:val="00902FD7"/>
    <w:rsid w:val="009121A1"/>
    <w:rsid w:val="00923B5A"/>
    <w:rsid w:val="0097757B"/>
    <w:rsid w:val="00990BD1"/>
    <w:rsid w:val="00996A56"/>
    <w:rsid w:val="009A0F00"/>
    <w:rsid w:val="009B328A"/>
    <w:rsid w:val="009C02A3"/>
    <w:rsid w:val="009C7D29"/>
    <w:rsid w:val="009D3F5D"/>
    <w:rsid w:val="00A00E45"/>
    <w:rsid w:val="00A02385"/>
    <w:rsid w:val="00A628E1"/>
    <w:rsid w:val="00AC02C8"/>
    <w:rsid w:val="00AC43B1"/>
    <w:rsid w:val="00B0681F"/>
    <w:rsid w:val="00B13DF7"/>
    <w:rsid w:val="00B1615B"/>
    <w:rsid w:val="00B75C12"/>
    <w:rsid w:val="00B85A6D"/>
    <w:rsid w:val="00B921AF"/>
    <w:rsid w:val="00BB0C3D"/>
    <w:rsid w:val="00BC52E1"/>
    <w:rsid w:val="00C24FB0"/>
    <w:rsid w:val="00C37A7F"/>
    <w:rsid w:val="00C57D94"/>
    <w:rsid w:val="00C66EB6"/>
    <w:rsid w:val="00C67DC1"/>
    <w:rsid w:val="00CA26C7"/>
    <w:rsid w:val="00CD60C1"/>
    <w:rsid w:val="00CF2494"/>
    <w:rsid w:val="00D2296B"/>
    <w:rsid w:val="00D2661F"/>
    <w:rsid w:val="00D52474"/>
    <w:rsid w:val="00D661C3"/>
    <w:rsid w:val="00D807F9"/>
    <w:rsid w:val="00D83F35"/>
    <w:rsid w:val="00D865C0"/>
    <w:rsid w:val="00D976B2"/>
    <w:rsid w:val="00DB72A1"/>
    <w:rsid w:val="00DC0DA1"/>
    <w:rsid w:val="00DE5D3B"/>
    <w:rsid w:val="00E1297A"/>
    <w:rsid w:val="00E135B5"/>
    <w:rsid w:val="00E4561D"/>
    <w:rsid w:val="00E8258D"/>
    <w:rsid w:val="00F23289"/>
    <w:rsid w:val="00F40D97"/>
    <w:rsid w:val="00F457A4"/>
    <w:rsid w:val="00FB4AB8"/>
    <w:rsid w:val="00FD79B9"/>
    <w:rsid w:val="00FE4A2F"/>
    <w:rsid w:val="00FE6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F35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83F3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83F35"/>
    <w:rPr>
      <w:rFonts w:ascii="Times New Roman" w:hAnsi="Times New Roman" w:cs="Times New Roman"/>
      <w:sz w:val="20"/>
      <w:lang w:eastAsia="pl-PL"/>
    </w:rPr>
  </w:style>
  <w:style w:type="paragraph" w:styleId="Footer">
    <w:name w:val="footer"/>
    <w:basedOn w:val="Normal"/>
    <w:link w:val="FooterChar"/>
    <w:uiPriority w:val="99"/>
    <w:rsid w:val="00DE5D3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E5D3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457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57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E30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1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1102</Words>
  <Characters>6618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3</dc:title>
  <dc:subject/>
  <dc:creator>Kacper</dc:creator>
  <cp:keywords/>
  <dc:description/>
  <cp:lastModifiedBy>Michał</cp:lastModifiedBy>
  <cp:revision>2</cp:revision>
  <cp:lastPrinted>2020-11-03T11:48:00Z</cp:lastPrinted>
  <dcterms:created xsi:type="dcterms:W3CDTF">2020-11-25T12:31:00Z</dcterms:created>
  <dcterms:modified xsi:type="dcterms:W3CDTF">2020-11-25T12:31:00Z</dcterms:modified>
</cp:coreProperties>
</file>