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06/10/2020    S194</w:t>
      </w:r>
    </w:p>
    <w:p w:rsidR="001D0807" w:rsidRDefault="001D0807" w:rsidP="001D080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anchor="id0-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:rsidR="001D0807" w:rsidRDefault="001D0807" w:rsidP="001D080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anchor="id1-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:rsidR="001D0807" w:rsidRDefault="001D0807" w:rsidP="001D080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anchor="id2-I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III.</w:t>
        </w:r>
      </w:hyperlink>
    </w:p>
    <w:p w:rsidR="001D0807" w:rsidRDefault="001D0807" w:rsidP="001D080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3-IV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IV.</w:t>
        </w:r>
      </w:hyperlink>
    </w:p>
    <w:p w:rsidR="001D0807" w:rsidRDefault="001D0807" w:rsidP="001D0807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4-V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:rsidR="001D0807" w:rsidRDefault="001D0807" w:rsidP="001D08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Produkty farmaceutyczne</w:t>
      </w:r>
    </w:p>
    <w:p w:rsidR="001D0807" w:rsidRDefault="001D0807" w:rsidP="001D08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194-468644</w:t>
      </w:r>
    </w:p>
    <w:p w:rsidR="001D0807" w:rsidRDefault="001D0807" w:rsidP="001D08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o zamówieniu</w:t>
      </w:r>
    </w:p>
    <w:p w:rsidR="001D0807" w:rsidRDefault="001D0807" w:rsidP="001D080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2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Główny adres: </w:t>
      </w:r>
      <w:hyperlink r:id="rId13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Adres profilu nabywcy: </w:t>
      </w:r>
      <w:hyperlink r:id="rId14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www.szpitaloswiecim.pl;www.przetargi.propublico.pl</w:t>
        </w:r>
      </w:hyperlink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https://miniportal.uzp.gov.pl/</w:t>
        </w:r>
      </w:hyperlink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Podmiot prawa publicznego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Zdrowie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leków i wyrobów medycznych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ZOZ.DZP.271.5.VIII.2020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jest dostawa leków i wyrobów medycznych – 48 pakietów – zgodnie z zapisami w formularzu cenowym – zał. nr 2 do SIWZ.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Zamawiający, na czas trwania umowy dostawy, która jest przedmiotem niniejszego postępowania, w zakresie pakietów nr 23, 25, 29, 30, 31 przewiduje również zawarcie z wykonawcą umowy użyczenia o treści zgodnej z załącznikiem nr 7 do SIWZ. Ze względu na jej nieodpłatny charakter nie jest ona jednak objęta niniejszym postępowaniem o udzielenie zamówienia publicznego..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Maksymalna liczba części, które mogą zostać udzielone jednemu oferentowi: 48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Aciclovir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ketoprofen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6 565,00.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Amoksicillinum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414,00.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Enoxaparinum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3 096,00.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Tabletki, iniekcje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1 093,00.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Immunoglobuliny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573,00.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Immunoglobuliny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455,00.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Heparyny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2 099,00.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Płyny infuzyjne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5 320,00.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Płyny infuzyjne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1 600,00.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Clindamycinum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rocuronium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2 484,00.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Antybiotyki, leki psychotropowe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2 879,00.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Indapamid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trimetazydyna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35,00.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Cytostatyki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710,00.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Cytostatyki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2 757,00.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Cytostatyki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266,00.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Pakiet nr 16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Injekcje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9 330,00.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Injekcje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2 967,00.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Dexametazon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hydrocortison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4 133,00.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19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Injekcje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tabletki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14 530,00.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Tabletki, syropy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7 311,00.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Kontrasty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10 002,00.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Kontrasty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890,00.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Paski testowe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757,00.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Preparaty do żywienia pozajelitowego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486,00.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Sevofluranum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611,00.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Meropenem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1 349,00.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Środki narkotyczne i psychotropowe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408,00.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Podtlenek azotu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100,00.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Preparaty do żywienia dojelitowego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1 034,00.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Preparaty do żywienia dojelitowego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253,00.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Preparaty do żywienia dojelitowego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1 994,00.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Immunoglobuliny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5 180,00.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Immunoglobuliny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10 007,00.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Alteplasum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8 174,00.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Cytostatyki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255,00.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BCG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583,00.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Gaz znieczulający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937,00.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Methyloprednisolon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heparyny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2 690,00.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39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Interferon beta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4 654,00.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Risperidonum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paliperidon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464,00.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Czynniki krzepnięcia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485,00.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42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Fumaran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dimetylu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Wadium 6 188,00.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43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Octan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glatirameru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370,00.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44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Interferon beta-1a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467,00.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45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Środek kontrastowy do badań rezonansu magnetycznego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5 959,00.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Część nr: 46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Teriflunomidum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1 333,00.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47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Idarucyzumab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2 580,00.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48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33600000 Produkty farmaceutyczne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Bupivacaina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zapisami w formularzu cenowym – zał. nr 2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Kryteria określone poniżej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Koniec: 31/12/2021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113,00.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1.O udzielenie zamówienia mogą ubiegać się wykonawcy, którzy: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1.1. nie podlegają wykluczeniu- w zakresie wskazanym w JEDZ – zał. nr 3 do SIWZ;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1.2. spełniają warunki udziału w postępowaniu dotyczące: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a. kompetencji lub uprawnień do prowadzenia określonej działalności zawodowej, o ile wynika to z odrębnych przepisów. Ocena spełnienia warunku udziału w postępowaniu będzie dokonana na zasadzie „spełnia / nie spełnia” w oparciu o oświadczenie – załącznik nr 3 do SIWZ. Nadto wymaga się wykazania, że wykonawca posiada ważną koncesję Głównego Inspektora Farmaceutycznego na prowadzenie hurtowni farmaceutycznej (o ile dotyczy).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udzielenie zamówienia mogą ubiegać się wykonawcy, którzy spełniają poniższe warunki: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Którzy nie podlegają wykluczeniu – zał. nr 3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udzielenie zamówienia mogą ubiegać się wykonawcy, którzy spełniają poniższe warunki: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Którzy nie podlegają wykluczeniu – zał. nr 3 do SIWZ.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IV: Procedura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otwarta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IV.1.8)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06/11/2020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Polski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06/11/2020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11:00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Zespół Opieki Zdrowotnej w Oświęcimiu, ul. Wysokie Brzegi 4, 32-600 Oświęcim, POLSKA.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VI.1)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Akceptowane będą faktury elektroniczne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przed udzieleniem zamówienia wezwie wykonawcę, którego oferta została najwyżej oceniona, do złożenia w wyznaczonym, nie krótszym niż 10 dni, terminie aktualnych na dzień złożenia następujących oświadczeń lub dokumenty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organu-wystawione nie wcześniej niż 3 miesiące przed upływem terminu składania ofert;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ważna koncesja Głównego Inspektora Farmaceutycznego na prowadzenie hurtowni farmaceutycznej (o ile wymaga).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zakresie opisu przedmiotu zamówienia: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oświadczenia wykonawcy, że posiada karty charakterystyki zaoferowanych produktów z potwierdzeniem stabilności chemiczno-fizycznej fiolki po pierwszym otwarciu min. 24 godziny, a ponadto, że wykonawca jest gotowy w każdej chwili na żądanie zamawiającego potwierdzić to poprzez przesłanie kart charakterystyki – załącznik nr 5 do SIWZ – dotyczy pakietu nr 14 poz. 4–11, 16–23;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b) oświadczenie wykonawcy o kompatybilności oferowanych produktów – załącznik nr 5 do SIWZ – dotyczy pakietów nr 25, 29, 30;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c) oświadczenia wykonawcy, że zaoferowane leki znajdują się:•na aktualnych listach zawartych w obwieszczeniu Ministra Zdrowia w sprawie wykazu refundowanych leków, środków spożywczych specjalnego przeznaczenia żywieniowego oraz wyrobów medycznych z dnia 24 sierpnia 2020 r. (Dz.U. Min. Zdrowia z 2020 r., poz. 60) oraz w zarządzeniu nr 180/2019/DGL Prezesa NFZ z dnia 31 grudnia 2019 r. w sprawie określenia warunków zawierania i realizacji umów w rodzaju leczenie szpitalne w zakresie chemioterapii i zarządzenie nr 142/2020/DGL Prezesa NFZ z dnia 17 września 2020 r. zmieniające zarządzenie w sprawie określenia warunków zawierania i realizacji umów w rodzaju leczenie szpitalne w zakresie chemioterapii – załącznik nr 5 do SIWZ – dotyczy pakietów nr 13, 14, 15, 17, 35, 36, na aktualnych listach zawartych w zarządzeniu nr 50/2020/DGL Prezesa NFZ z dnia 31 kwietnia 2020 r. w sprawie określenia warunków zawierania i realizacji umów w rodzaju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leczenie szpitalne w zakresie programy lekowe – załącznik nr 5 do SIWZ – dotyczy pakietów nr 39, 42, 43, 44, 46 – przez cały okres trwania umowy, a w przypadku zmiany obwieszczenia lub zarządzenia wykonawca winien dostarczać zamienniki również znajdujące się w zmienionym obwieszczeniu Ministra Zdrowia oraz zarządzeniu Prezesa NFZ;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d) oświadczenie dotyczące pochodzenia od tego samego producenta – dotyczy pakietu nr 13, 14, 15, 35;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e) oświadczenie wykonawcy, że oferowane produkty są zarejestrowane jako produkt leczniczy – załącznik nr 5 do SIWZ – dotyczy pakietu 19 poz. 100 oraz pakietu nr 20 poz. 169, 265, 324;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f) oświadczenie wykonawcy, że oferowane produkty posiadają możliwość mieszania z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tramadolem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jednej strzykawce – dotyczy pakietu nr 19 poz. 34, 35.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Ponadto oferta musi być zabezpieczona wadium. Wadium wnosi się przed upływem terminu składania ofert oraz w kilku formach, o których mowa w dziale IX SIWZ – Wadium.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informacji: (www. przetargi.propublico.pl).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Dokładne informacje n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 temat terminów składania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odwołań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 Informacja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1.1. Wykonawca może w terminie przewidzianym do wniesienia odwołania poinformować zamawiającego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 podjętej przez niego lub zaniechaniu czynności, do której jest on zobowiązany na podstawie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na które nie przysługuje odwołanie.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W przypadku uznania zasadności przekazanej informacji zamawiający powtarza czynność albo dokona czynności zaniechanej, informując o tym Wykonawców w sposób przewidziany w ustawie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czynności; na powyższe nie przysługuje odwołanie.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2.1. Jeżeli wartość zamówienia jest mniejsza niż kwoty określone w przepisach wydanych na podstawie art. 11 ust. 8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odwołanie przysługuje wyłącznie wobec czynności: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1) wyboru trybu negocjacji bez ogłoszenia, zamówienia z wolnej ręki lub zapytania o cenę;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2) określenia warunków udziału w postępowaniu;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3) wykluczenia odwołującego z postępowania o udzielenie zamówienia;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4) odrzucenia oferty odwołującego;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5) opisu przedmiotu zamówienia;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6) wyboru najkorzystniejszej oferty.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2.2.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2.3.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2.4. O oddaleniu odwołania lub jego uwzględnieniu Izba orzeka w wyroku.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2.5. Odwołanie wnosi się do Prezesa Izby przesyłając jego kopię zamawiającemu przed upływem terminu do wniesienia odwołania w taki sposób, aby mógł on zapoznać się z jego treścią przed upływem tego terminu.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2.6. Odwołanie wnosi się w terminach określonych w art. 182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Skarga do sądu: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3.1. Na orzeczenie Izby stronom oraz uczestnikom postępowania odwoławczego przysługuje skarga do sądu.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1.2. Skargę wnosi się za pośrednictwem Prezesa Izby w terminie 7 dni od dnia doręczenia orzeczenia Izby, przesyłając jednocześnie jej odpis przeciwnikowi skargi.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Prezes Izby przekazuje skargę wraz z aktami postępowania odwoławczego właściwemu sądowi w terminie 7 dni od dnia jej otrzymania;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c) sąd rozpoznaje sprawę niezwłocznie, nie później jednak niż w terminie 1 miesiąca od dnia wpływu skargi do sądu;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od wyroku sądu lub postanowienia kończącego postępowanie w sprawie nie przysługuje skarga kasacyjna. </w:t>
      </w:r>
    </w:p>
    <w:p w:rsidR="001D0807" w:rsidRDefault="001D0807" w:rsidP="001D0807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4. Przepisy dotyczące środków ochrony prawnej znajdują się w art. 179 – 198g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1D0807" w:rsidRDefault="001D0807" w:rsidP="001D080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01/10/2020</w:t>
      </w:r>
    </w:p>
    <w:p w:rsidR="001D0807" w:rsidRPr="001D0807" w:rsidRDefault="001D0807" w:rsidP="001D0807"/>
    <w:p w:rsidR="00F8425D" w:rsidRPr="001D0807" w:rsidRDefault="00F8425D" w:rsidP="001D0807"/>
    <w:sectPr w:rsidR="00F8425D" w:rsidRPr="001D0807" w:rsidSect="004A306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30E" w:rsidRDefault="00F6230E">
      <w:r>
        <w:separator/>
      </w:r>
    </w:p>
  </w:endnote>
  <w:endnote w:type="continuationSeparator" w:id="0">
    <w:p w:rsidR="00F6230E" w:rsidRDefault="00F6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30E" w:rsidRDefault="00F6230E">
      <w:r>
        <w:separator/>
      </w:r>
    </w:p>
  </w:footnote>
  <w:footnote w:type="continuationSeparator" w:id="0">
    <w:p w:rsidR="00F6230E" w:rsidRDefault="00F6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9E5" w:rsidRDefault="003559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9E5" w:rsidRDefault="003559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59E5" w:rsidRDefault="003559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5A84B29"/>
    <w:multiLevelType w:val="multilevel"/>
    <w:tmpl w:val="3C027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7D1FFD"/>
    <w:multiLevelType w:val="multilevel"/>
    <w:tmpl w:val="B136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32"/>
  </w:num>
  <w:num w:numId="3">
    <w:abstractNumId w:val="24"/>
  </w:num>
  <w:num w:numId="4">
    <w:abstractNumId w:val="31"/>
  </w:num>
  <w:num w:numId="5">
    <w:abstractNumId w:val="12"/>
  </w:num>
  <w:num w:numId="6">
    <w:abstractNumId w:val="16"/>
  </w:num>
  <w:num w:numId="7">
    <w:abstractNumId w:val="28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3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0"/>
  </w:num>
  <w:num w:numId="19">
    <w:abstractNumId w:val="15"/>
  </w:num>
  <w:num w:numId="20">
    <w:abstractNumId w:val="7"/>
  </w:num>
  <w:num w:numId="21">
    <w:abstractNumId w:val="5"/>
  </w:num>
  <w:num w:numId="22">
    <w:abstractNumId w:val="34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9"/>
  </w:num>
  <w:num w:numId="35">
    <w:abstractNumId w:val="1"/>
  </w:num>
  <w:num w:numId="36">
    <w:abstractNumId w:val="2"/>
  </w:num>
  <w:num w:numId="37">
    <w:abstractNumId w:val="26"/>
  </w:num>
  <w:num w:numId="38">
    <w:abstractNumId w:val="35"/>
  </w:num>
  <w:num w:numId="39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30E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1D0807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559E5"/>
    <w:rsid w:val="00365B2A"/>
    <w:rsid w:val="003803FD"/>
    <w:rsid w:val="0039616B"/>
    <w:rsid w:val="003966D6"/>
    <w:rsid w:val="003E5137"/>
    <w:rsid w:val="003E646D"/>
    <w:rsid w:val="00420FED"/>
    <w:rsid w:val="0042639C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6230E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FC883C-532A-4D2B-B36D-64F76639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D0807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customStyle="1" w:styleId="Nagwek2Znak">
    <w:name w:val="Nagłówek 2 Znak"/>
    <w:link w:val="Nagwek2"/>
    <w:uiPriority w:val="9"/>
    <w:rsid w:val="001D0807"/>
    <w:rPr>
      <w:b/>
      <w:sz w:val="24"/>
    </w:rPr>
  </w:style>
  <w:style w:type="character" w:customStyle="1" w:styleId="Nagwek3Znak">
    <w:name w:val="Nagłówek 3 Znak"/>
    <w:link w:val="Nagwek3"/>
    <w:uiPriority w:val="9"/>
    <w:rsid w:val="001D0807"/>
    <w:rPr>
      <w:rFonts w:ascii="Arial" w:hAnsi="Arial"/>
      <w:b/>
      <w:sz w:val="22"/>
    </w:rPr>
  </w:style>
  <w:style w:type="character" w:styleId="Hipercze">
    <w:name w:val="Hyperlink"/>
    <w:uiPriority w:val="99"/>
    <w:unhideWhenUsed/>
    <w:rsid w:val="001D0807"/>
    <w:rPr>
      <w:color w:val="0000FF"/>
      <w:u w:val="single"/>
    </w:rPr>
  </w:style>
  <w:style w:type="character" w:styleId="UyteHipercze">
    <w:name w:val="FollowedHyperlink"/>
    <w:uiPriority w:val="99"/>
    <w:unhideWhenUsed/>
    <w:rsid w:val="001D0807"/>
    <w:rPr>
      <w:color w:val="800080"/>
      <w:u w:val="single"/>
    </w:rPr>
  </w:style>
  <w:style w:type="paragraph" w:customStyle="1" w:styleId="msonormal0">
    <w:name w:val="msonormal"/>
    <w:basedOn w:val="Normalny"/>
    <w:uiPriority w:val="99"/>
    <w:semiHidden/>
    <w:rsid w:val="001D0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D0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igrseq">
    <w:name w:val="tigrseq"/>
    <w:basedOn w:val="Normalny"/>
    <w:uiPriority w:val="99"/>
    <w:semiHidden/>
    <w:rsid w:val="001D0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">
    <w:name w:val="p"/>
    <w:basedOn w:val="Normalny"/>
    <w:uiPriority w:val="99"/>
    <w:semiHidden/>
    <w:rsid w:val="001D0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grey-box">
    <w:name w:val="grey-box"/>
    <w:basedOn w:val="Normalny"/>
    <w:uiPriority w:val="99"/>
    <w:semiHidden/>
    <w:rsid w:val="001D0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last-update">
    <w:name w:val="last-update"/>
    <w:basedOn w:val="Normalny"/>
    <w:uiPriority w:val="99"/>
    <w:semiHidden/>
    <w:rsid w:val="001D08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Data1">
    <w:name w:val="Data1"/>
    <w:rsid w:val="001D0807"/>
  </w:style>
  <w:style w:type="character" w:customStyle="1" w:styleId="oj">
    <w:name w:val="oj"/>
    <w:rsid w:val="001D0807"/>
  </w:style>
  <w:style w:type="character" w:customStyle="1" w:styleId="nomark">
    <w:name w:val="nomark"/>
    <w:rsid w:val="001D0807"/>
  </w:style>
  <w:style w:type="character" w:customStyle="1" w:styleId="timark">
    <w:name w:val="timark"/>
    <w:rsid w:val="001D0807"/>
  </w:style>
  <w:style w:type="character" w:customStyle="1" w:styleId="nutscode">
    <w:name w:val="nutscode"/>
    <w:rsid w:val="001D0807"/>
  </w:style>
  <w:style w:type="character" w:customStyle="1" w:styleId="cpvcode">
    <w:name w:val="cpvcode"/>
    <w:rsid w:val="001D0807"/>
  </w:style>
  <w:style w:type="character" w:customStyle="1" w:styleId="icon-calendar2">
    <w:name w:val="icon-calendar2"/>
    <w:rsid w:val="001D0807"/>
  </w:style>
  <w:style w:type="character" w:customStyle="1" w:styleId="icon-caret-right">
    <w:name w:val="icon-caret-right"/>
    <w:rsid w:val="001D0807"/>
  </w:style>
  <w:style w:type="character" w:customStyle="1" w:styleId="eur-lex-blue">
    <w:name w:val="eur-lex-blue"/>
    <w:rsid w:val="001D0807"/>
  </w:style>
  <w:style w:type="character" w:customStyle="1" w:styleId="bookshop-orange">
    <w:name w:val="bookshop-orange"/>
    <w:rsid w:val="001D0807"/>
  </w:style>
  <w:style w:type="character" w:customStyle="1" w:styleId="opendata-grey">
    <w:name w:val="opendata-grey"/>
    <w:rsid w:val="001D0807"/>
  </w:style>
  <w:style w:type="character" w:customStyle="1" w:styleId="whoswho-red">
    <w:name w:val="whoswho-red"/>
    <w:rsid w:val="001D0807"/>
  </w:style>
  <w:style w:type="character" w:customStyle="1" w:styleId="cordis-pink">
    <w:name w:val="cordis-pink"/>
    <w:rsid w:val="001D0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68644-2020:TEXT:PL:HTML" TargetMode="External"/><Relationship Id="rId13" Type="http://schemas.openxmlformats.org/officeDocument/2006/relationships/hyperlink" Target="http://www.szpitaloswiecim.pl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468644-2020:TEXT:PL:HTML" TargetMode="External"/><Relationship Id="rId12" Type="http://schemas.openxmlformats.org/officeDocument/2006/relationships/hyperlink" Target="mailto:zamowienia@szpitaloswiecim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miniportal.uzp.gov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68644-2020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szpitaloswiecim.pl;www.przetargi.propublico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468644-2020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68644-2020:TEXT:PL:HTML" TargetMode="External"/><Relationship Id="rId14" Type="http://schemas.openxmlformats.org/officeDocument/2006/relationships/hyperlink" Target="http://www.szpitaloswiecim.pl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37</Pages>
  <Words>7220</Words>
  <Characters>54469</Characters>
  <Application>Microsoft Office Word</Application>
  <DocSecurity>0</DocSecurity>
  <Lines>453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jjanus</dc:creator>
  <cp:keywords/>
  <cp:lastModifiedBy>jjanus</cp:lastModifiedBy>
  <cp:revision>3</cp:revision>
  <cp:lastPrinted>2001-02-10T19:50:00Z</cp:lastPrinted>
  <dcterms:created xsi:type="dcterms:W3CDTF">2020-10-06T07:54:00Z</dcterms:created>
  <dcterms:modified xsi:type="dcterms:W3CDTF">2020-10-06T07:55:00Z</dcterms:modified>
</cp:coreProperties>
</file>