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06B" w:rsidRPr="00315D72" w:rsidRDefault="006E058A" w:rsidP="00E5026B">
      <w:pPr>
        <w:pStyle w:val="Nagwek"/>
        <w:tabs>
          <w:tab w:val="clear" w:pos="4536"/>
          <w:tab w:val="clear" w:pos="9072"/>
          <w:tab w:val="right" w:pos="5387"/>
        </w:tabs>
        <w:spacing w:line="360" w:lineRule="auto"/>
        <w:rPr>
          <w:rFonts w:ascii="Verdana" w:hAnsi="Verdana"/>
          <w:sz w:val="16"/>
          <w:szCs w:val="16"/>
        </w:rPr>
      </w:pPr>
      <w:r w:rsidRPr="006E058A">
        <w:rPr>
          <w:rFonts w:ascii="Verdana" w:hAnsi="Verdana"/>
          <w:sz w:val="16"/>
          <w:szCs w:val="16"/>
        </w:rPr>
        <w:t>KC-zp.272-4</w:t>
      </w:r>
      <w:r w:rsidR="00CF0D7C">
        <w:rPr>
          <w:rFonts w:ascii="Verdana" w:hAnsi="Verdana"/>
          <w:sz w:val="16"/>
          <w:szCs w:val="16"/>
        </w:rPr>
        <w:t>30</w:t>
      </w:r>
      <w:r w:rsidRPr="006E058A">
        <w:rPr>
          <w:rFonts w:ascii="Verdana" w:hAnsi="Verdana"/>
          <w:sz w:val="16"/>
          <w:szCs w:val="16"/>
        </w:rPr>
        <w:t>/20</w:t>
      </w:r>
      <w:r w:rsidR="007B12A7">
        <w:rPr>
          <w:rFonts w:ascii="Verdana" w:hAnsi="Verdana"/>
          <w:sz w:val="16"/>
          <w:szCs w:val="16"/>
        </w:rPr>
        <w:t xml:space="preserve">                   </w:t>
      </w:r>
      <w:r w:rsidR="00E5026B">
        <w:rPr>
          <w:rFonts w:ascii="Verdana" w:hAnsi="Verdana"/>
          <w:sz w:val="16"/>
          <w:szCs w:val="16"/>
        </w:rPr>
        <w:tab/>
      </w:r>
      <w:r w:rsidR="008016CB">
        <w:rPr>
          <w:rFonts w:ascii="Verdana" w:hAnsi="Verdana"/>
          <w:sz w:val="16"/>
          <w:szCs w:val="16"/>
        </w:rPr>
        <w:t xml:space="preserve">                                                  </w:t>
      </w:r>
      <w:r w:rsidR="008016CB" w:rsidRPr="006E058A">
        <w:rPr>
          <w:rFonts w:ascii="Verdana" w:hAnsi="Verdana"/>
          <w:sz w:val="16"/>
          <w:szCs w:val="16"/>
        </w:rPr>
        <w:t>Kraków</w:t>
      </w:r>
      <w:r w:rsidR="008016CB" w:rsidRPr="00315D72">
        <w:rPr>
          <w:rFonts w:ascii="Verdana" w:hAnsi="Verdana"/>
          <w:sz w:val="16"/>
          <w:szCs w:val="16"/>
        </w:rPr>
        <w:t xml:space="preserve">, </w:t>
      </w:r>
      <w:r w:rsidR="008016CB" w:rsidRPr="006E058A">
        <w:rPr>
          <w:rFonts w:ascii="Verdana" w:hAnsi="Verdana"/>
          <w:sz w:val="16"/>
          <w:szCs w:val="16"/>
        </w:rPr>
        <w:t>2020-09-16</w:t>
      </w:r>
      <w:r w:rsidR="00E5026B">
        <w:rPr>
          <w:rFonts w:ascii="Verdana" w:hAnsi="Verdana"/>
          <w:sz w:val="16"/>
          <w:szCs w:val="16"/>
        </w:rPr>
        <w:tab/>
      </w:r>
      <w:r w:rsidR="00E700D7">
        <w:rPr>
          <w:rFonts w:ascii="Verdana" w:hAnsi="Verdana"/>
          <w:sz w:val="16"/>
          <w:szCs w:val="16"/>
        </w:rPr>
        <w:tab/>
      </w:r>
      <w:r w:rsidR="00E700D7">
        <w:rPr>
          <w:rFonts w:ascii="Verdana" w:hAnsi="Verdana"/>
          <w:sz w:val="16"/>
          <w:szCs w:val="16"/>
        </w:rPr>
        <w:tab/>
      </w:r>
      <w:r w:rsidR="00E700D7">
        <w:rPr>
          <w:rFonts w:ascii="Verdana" w:hAnsi="Verdana"/>
          <w:sz w:val="16"/>
          <w:szCs w:val="16"/>
        </w:rPr>
        <w:tab/>
      </w:r>
    </w:p>
    <w:p w:rsidR="0021206B" w:rsidRPr="00315D72" w:rsidRDefault="0021206B">
      <w:pPr>
        <w:pStyle w:val="Nagwek"/>
        <w:tabs>
          <w:tab w:val="clear" w:pos="4536"/>
          <w:tab w:val="clear" w:pos="9072"/>
        </w:tabs>
        <w:rPr>
          <w:rFonts w:ascii="Verdana" w:hAnsi="Verdana"/>
        </w:rPr>
      </w:pP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WYKONAWCY</w:t>
      </w:r>
      <w:r w:rsidR="0021206B" w:rsidRPr="00315D72">
        <w:rPr>
          <w:rFonts w:ascii="Verdana" w:hAnsi="Verdana"/>
          <w:b/>
        </w:rPr>
        <w:t xml:space="preserve">, </w:t>
      </w:r>
    </w:p>
    <w:p w:rsidR="0021206B" w:rsidRPr="00315D72" w:rsidRDefault="00D74780">
      <w:pPr>
        <w:pStyle w:val="Nagwek"/>
        <w:tabs>
          <w:tab w:val="clear" w:pos="4536"/>
          <w:tab w:val="clear" w:pos="9072"/>
        </w:tabs>
        <w:ind w:left="4536"/>
        <w:rPr>
          <w:rFonts w:ascii="Verdana" w:hAnsi="Verdana"/>
          <w:b/>
        </w:rPr>
      </w:pPr>
      <w:r w:rsidRPr="00315D72">
        <w:rPr>
          <w:rFonts w:ascii="Verdana" w:hAnsi="Verdana"/>
          <w:b/>
        </w:rPr>
        <w:t xml:space="preserve">którzy pobrali </w:t>
      </w:r>
      <w:r w:rsidR="0021206B" w:rsidRPr="00315D72">
        <w:rPr>
          <w:rFonts w:ascii="Verdana" w:hAnsi="Verdana"/>
          <w:b/>
        </w:rPr>
        <w:t>SIWZ</w:t>
      </w:r>
    </w:p>
    <w:p w:rsidR="0021206B" w:rsidRPr="00315D72" w:rsidRDefault="0021206B">
      <w:pPr>
        <w:pStyle w:val="Nagwek1"/>
        <w:jc w:val="center"/>
        <w:rPr>
          <w:rFonts w:ascii="Verdana" w:hAnsi="Verdana"/>
          <w:sz w:val="20"/>
        </w:rPr>
      </w:pPr>
      <w:r w:rsidRPr="00315D72">
        <w:rPr>
          <w:rFonts w:ascii="Verdana" w:hAnsi="Verdana"/>
          <w:sz w:val="20"/>
        </w:rPr>
        <w:t>ODPOWIEDŹ NA ZAPYTANIA W SPRAWIE SIWZ</w:t>
      </w:r>
    </w:p>
    <w:p w:rsidR="0061472E" w:rsidRPr="00315D72" w:rsidRDefault="0061472E">
      <w:pPr>
        <w:ind w:left="539" w:firstLine="540"/>
        <w:jc w:val="center"/>
        <w:rPr>
          <w:rFonts w:ascii="Verdana" w:hAnsi="Verdana"/>
          <w:b/>
          <w:u w:val="single"/>
        </w:rPr>
      </w:pPr>
    </w:p>
    <w:p w:rsidR="0021206B" w:rsidRPr="00A17896" w:rsidRDefault="0021206B" w:rsidP="00542F2E">
      <w:pPr>
        <w:pStyle w:val="Tekstpodstawowywcity3"/>
        <w:spacing w:line="240" w:lineRule="auto"/>
        <w:ind w:firstLine="0"/>
        <w:rPr>
          <w:rFonts w:ascii="Verdana" w:hAnsi="Verdana"/>
          <w:b/>
          <w:sz w:val="20"/>
        </w:rPr>
      </w:pPr>
      <w:r w:rsidRPr="00A17896">
        <w:rPr>
          <w:rFonts w:ascii="Verdana" w:hAnsi="Verdana"/>
          <w:sz w:val="20"/>
        </w:rPr>
        <w:t xml:space="preserve">Uprzejmie informujemy, że w dniu </w:t>
      </w:r>
      <w:r w:rsidR="006E058A" w:rsidRPr="006E058A">
        <w:rPr>
          <w:rFonts w:ascii="Verdana" w:hAnsi="Verdana"/>
          <w:b/>
          <w:sz w:val="20"/>
        </w:rPr>
        <w:t>2020-09-1</w:t>
      </w:r>
      <w:r w:rsidR="00CF0D7C">
        <w:rPr>
          <w:rFonts w:ascii="Verdana" w:hAnsi="Verdana"/>
          <w:b/>
          <w:sz w:val="20"/>
        </w:rPr>
        <w:t>4</w:t>
      </w:r>
      <w:r w:rsidRPr="00A17896">
        <w:rPr>
          <w:rFonts w:ascii="Verdana" w:hAnsi="Verdana"/>
          <w:sz w:val="20"/>
        </w:rPr>
        <w:t xml:space="preserve"> wpłynęła prośba o wyjaśnienie zapisu specyfikacji istotnych warunków zamówienia, w postępowaniu </w:t>
      </w:r>
      <w:r w:rsidRPr="008016CB">
        <w:rPr>
          <w:rFonts w:ascii="Verdana" w:hAnsi="Verdana"/>
          <w:sz w:val="20"/>
        </w:rPr>
        <w:t xml:space="preserve">prowadzonym </w:t>
      </w:r>
      <w:r w:rsidR="003F7802" w:rsidRPr="008016CB">
        <w:rPr>
          <w:rFonts w:ascii="Verdana" w:hAnsi="Verdana"/>
          <w:sz w:val="20"/>
        </w:rPr>
        <w:t xml:space="preserve">na podstawie przepisów ustawy z dnia 29 stycznia 2004 roku Prawo Zamówień Publicznych </w:t>
      </w:r>
      <w:r w:rsidR="0083033C" w:rsidRPr="008016CB">
        <w:rPr>
          <w:rFonts w:ascii="Verdana" w:hAnsi="Verdana"/>
          <w:sz w:val="20"/>
        </w:rPr>
        <w:t>(</w:t>
      </w:r>
      <w:r w:rsidR="002405E1" w:rsidRPr="008016CB">
        <w:rPr>
          <w:rFonts w:ascii="Verdana" w:hAnsi="Verdana"/>
          <w:sz w:val="20"/>
        </w:rPr>
        <w:t>Dz. U. z  201</w:t>
      </w:r>
      <w:r w:rsidR="00E700D7" w:rsidRPr="008016CB">
        <w:rPr>
          <w:rFonts w:ascii="Verdana" w:hAnsi="Verdana"/>
          <w:sz w:val="20"/>
        </w:rPr>
        <w:t>9</w:t>
      </w:r>
      <w:r w:rsidR="00775A72" w:rsidRPr="008016CB">
        <w:rPr>
          <w:rFonts w:ascii="Verdana" w:hAnsi="Verdana"/>
          <w:sz w:val="20"/>
        </w:rPr>
        <w:t xml:space="preserve"> r. poz. </w:t>
      </w:r>
      <w:r w:rsidR="00E700D7" w:rsidRPr="008016CB">
        <w:rPr>
          <w:rFonts w:ascii="Verdana" w:hAnsi="Verdana"/>
          <w:sz w:val="20"/>
        </w:rPr>
        <w:t>1843</w:t>
      </w:r>
      <w:r w:rsidR="00D90657" w:rsidRPr="008016CB">
        <w:rPr>
          <w:rFonts w:ascii="Verdana" w:hAnsi="Verdana"/>
          <w:sz w:val="20"/>
        </w:rPr>
        <w:t xml:space="preserve"> ze zm.</w:t>
      </w:r>
      <w:r w:rsidR="0083033C" w:rsidRPr="008016CB">
        <w:rPr>
          <w:rFonts w:ascii="Verdana" w:hAnsi="Verdana"/>
          <w:sz w:val="20"/>
        </w:rPr>
        <w:t xml:space="preserve">) </w:t>
      </w:r>
      <w:r w:rsidR="00E700D7" w:rsidRPr="008016CB">
        <w:rPr>
          <w:rFonts w:ascii="Verdana" w:hAnsi="Verdana"/>
          <w:sz w:val="20"/>
        </w:rPr>
        <w:t>w trybie opisanym w art. 138g</w:t>
      </w:r>
      <w:r w:rsidR="00A27DDB" w:rsidRPr="008016CB">
        <w:rPr>
          <w:rFonts w:ascii="Verdana" w:hAnsi="Verdana"/>
          <w:sz w:val="20"/>
        </w:rPr>
        <w:t>,</w:t>
      </w:r>
      <w:r w:rsidRPr="00A17896">
        <w:rPr>
          <w:rFonts w:ascii="Verdana" w:hAnsi="Verdana"/>
          <w:sz w:val="20"/>
        </w:rPr>
        <w:t xml:space="preserve"> </w:t>
      </w:r>
      <w:r w:rsidR="00476899">
        <w:rPr>
          <w:rFonts w:ascii="Verdana" w:hAnsi="Verdana"/>
          <w:sz w:val="20"/>
        </w:rPr>
        <w:t xml:space="preserve">którego przedmiotem jest </w:t>
      </w:r>
      <w:r w:rsidR="00CF0D7C" w:rsidRPr="00CF0D7C">
        <w:rPr>
          <w:rFonts w:ascii="Verdana" w:hAnsi="Verdana"/>
          <w:b/>
          <w:sz w:val="20"/>
        </w:rPr>
        <w:t>usługa szkolenia pracowników kadry zarządczej i administracyjnej AGH w ramach projektu Zintegrowany Program Rozwoju Akademii Górniczo-Hutniczej w Krakowie nr POWR.03.05.00-00-Z307/17-00, Zadanie 6. Podniesienie kompetencji kadry administracyjnej - KC-zp.272-430/20</w:t>
      </w:r>
      <w:r w:rsidRPr="00A17896">
        <w:rPr>
          <w:rFonts w:ascii="Verdana" w:hAnsi="Verdana"/>
          <w:b/>
          <w:sz w:val="20"/>
        </w:rPr>
        <w:t>.</w:t>
      </w:r>
    </w:p>
    <w:p w:rsidR="0021206B" w:rsidRPr="00315D72" w:rsidRDefault="0021206B">
      <w:pPr>
        <w:pStyle w:val="Tekstpodstawowywcity3"/>
        <w:spacing w:line="240" w:lineRule="auto"/>
        <w:ind w:firstLine="284"/>
        <w:rPr>
          <w:rFonts w:ascii="Verdana" w:hAnsi="Verdana"/>
          <w:sz w:val="20"/>
        </w:rPr>
      </w:pPr>
    </w:p>
    <w:p w:rsidR="0021206B" w:rsidRPr="00315D72" w:rsidRDefault="0021206B">
      <w:pPr>
        <w:pStyle w:val="Tekstpodstawowywcity3"/>
        <w:spacing w:line="240" w:lineRule="auto"/>
        <w:ind w:firstLine="0"/>
        <w:rPr>
          <w:rFonts w:ascii="Verdana" w:hAnsi="Verdana"/>
          <w:b/>
          <w:sz w:val="20"/>
          <w:u w:val="single"/>
        </w:rPr>
      </w:pPr>
      <w:r w:rsidRPr="00315D72">
        <w:rPr>
          <w:rFonts w:ascii="Verdana" w:hAnsi="Verdana"/>
          <w:b/>
          <w:sz w:val="20"/>
          <w:u w:val="single"/>
        </w:rPr>
        <w:t>Treść zapytania brzmi następująco:</w:t>
      </w:r>
    </w:p>
    <w:p w:rsidR="008016CB" w:rsidRPr="008016CB" w:rsidRDefault="008016CB" w:rsidP="008016CB">
      <w:pPr>
        <w:pStyle w:val="Tekstpodstawowywcity3"/>
        <w:spacing w:line="240" w:lineRule="auto"/>
        <w:ind w:firstLine="0"/>
        <w:rPr>
          <w:rFonts w:ascii="Verdana" w:hAnsi="Verdana"/>
          <w:sz w:val="20"/>
        </w:rPr>
      </w:pPr>
      <w:r>
        <w:rPr>
          <w:rFonts w:ascii="Verdana" w:hAnsi="Verdana"/>
          <w:sz w:val="20"/>
        </w:rPr>
        <w:t>Z</w:t>
      </w:r>
      <w:r w:rsidRPr="008016CB">
        <w:rPr>
          <w:rFonts w:ascii="Verdana" w:hAnsi="Verdana"/>
          <w:sz w:val="20"/>
        </w:rPr>
        <w:t>wracam się z prośbą o dopuszczenie ofert częściowych.</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W sytuacji, gdy przedmiot zamówienia składa się więcej niż z jednego elementu, zamawiający (beneficjent) powinien dopuścić do składania ofert częściowych w przypadku, gdy możliwe jest dostarczenie przedmiotu zamówienia przez różnych oferentów, bez istotnej zmiany przedmiotu zamówienia oraz jego wartości.</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Jest to szczególnie uzasadnione w przypadku, gdy to samo zamówienie dotyczy zarówno przedmiotów powszechnie dostępnych na rynku, jak i tych, które mogą zaoferować nieliczni oferenci. W takim przypadku zamawiający nie dopuszczając możliwości składania ofert częściowych ogranicza zarówno dostawców przedmiotów powszechnie dostępnych, jak i specjalistycznych, gdyż na rynku istnieje ograniczona liczba oferentów, mogących wziąć udział w takim postępowaniu.</w:t>
      </w:r>
    </w:p>
    <w:p w:rsidR="008016CB" w:rsidRPr="008016CB" w:rsidRDefault="008016CB" w:rsidP="008016CB">
      <w:pPr>
        <w:pStyle w:val="Tekstpodstawowywcity3"/>
        <w:spacing w:line="240" w:lineRule="auto"/>
        <w:rPr>
          <w:rFonts w:ascii="Verdana" w:hAnsi="Verdana"/>
          <w:sz w:val="20"/>
        </w:rPr>
      </w:pP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Dopuszczenie w postępowaniu ofertowym możliwości składania ofert częściowych ma na celu zapewnienie większej dostępności udziału w postępowaniach o znacznych rozmiarach dla małych i średnich przedsiębiorców oraz zwiększenie konkurencyjności.</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lastRenderedPageBreak/>
        <w:t>Nie dopuszczając w postępowaniu możliwości składania ofert częściowych, zamawiający (beneficjent) powinien przedstawić szczegółowe uzasadnienie zastosowania takiego ograniczenia.</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Dlaczego Zamawiający wyklucza i dyskryminuje jednoosobowe działalności - trenerów ekspertów z 1/2 tematów na rzecz premiowania w postępowaniu tylko podmiotów dużych dysponujących wieloma ekspertami?</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Dlaczego Zamawiający nie chce osiągnąć ceny niższej? Preferując dużych wykonawców doprowadza Zamawiający do konieczności zatrudnienia małych/mikro przez dużych i doliczania do ceny oferty prowizji pośrednika.</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W tym miejscu wskazać należy, że za okoliczność uzasadniającą rezygnację z dopuszczenia możliwości składania ofert częściowych uznaje się jedynie nadmierne trudności czy koszty oraz brak koordynacji, skutkujący poważną groźbą nieprawidłowej realizacji zamówienia. Oznacza to, iż obawy związane z ewentualnymi niewielkimi trudnościami czy kosztami bądź nieznacznymi problemami z koordynowaniem działań wykonawców, a tym bardziej wygoda zamawiającego, nie powinny stanowić dostatecznej podstawy do zaniechania dopuszczenia możliwości składania ofert częściowych.</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Zgodnie z motywem 78 dyrektywy 2014/24/UE „Zamówienia publiczne powinny być dostosowane do potrzeb MSP. Instytucje zamawiające należy zachęcać do korzystania z kodeksu najlepszych praktyk określonego w dokumencie roboczym służb Komisji z dnia 25 czerwca 2008 r. zatytułowanym „Europejski kodeks najlepszych praktyk ułatwiających dostęp MSP do zamówień publicznych”, zawierającego wytyczne mówiące o tym, w jaki sposób instytucje te mogą stosować ramy zamówień publicznych, aby ułatwić udział MSP.</w:t>
      </w:r>
    </w:p>
    <w:p w:rsidR="008016CB" w:rsidRPr="008016CB" w:rsidRDefault="008016CB" w:rsidP="008016CB">
      <w:pPr>
        <w:pStyle w:val="Tekstpodstawowywcity3"/>
        <w:spacing w:line="240" w:lineRule="auto"/>
        <w:ind w:firstLine="0"/>
        <w:rPr>
          <w:rFonts w:ascii="Verdana" w:hAnsi="Verdana"/>
          <w:sz w:val="20"/>
        </w:rPr>
      </w:pPr>
      <w:r w:rsidRPr="008016CB">
        <w:rPr>
          <w:rFonts w:ascii="Verdana" w:hAnsi="Verdana"/>
          <w:sz w:val="20"/>
        </w:rPr>
        <w:t>Celem motywu 78 dyrektywy 2014/24/UE jest umożliwienie małym i średnim przedsiębiorstwom ubiegania się o udzielenie zamówień publicznych o znacznych rozmiarach lub wielkości oraz zwiększenie konkurencyjności.</w:t>
      </w:r>
    </w:p>
    <w:p w:rsidR="0021206B" w:rsidRPr="00315D72" w:rsidRDefault="008016CB" w:rsidP="008016CB">
      <w:pPr>
        <w:pStyle w:val="Tekstpodstawowywcity3"/>
        <w:spacing w:line="240" w:lineRule="auto"/>
        <w:ind w:firstLine="0"/>
        <w:rPr>
          <w:rFonts w:ascii="Verdana" w:hAnsi="Verdana"/>
          <w:sz w:val="20"/>
        </w:rPr>
      </w:pPr>
      <w:r w:rsidRPr="008016CB">
        <w:rPr>
          <w:rFonts w:ascii="Verdana" w:hAnsi="Verdana"/>
          <w:sz w:val="20"/>
        </w:rPr>
        <w:t>W opinii prawnej „Jak uzasadnić rezygnację z podziału zamówienia na części? Czy to, że zamawiającemu wygodniej jest mieć jedną umowę niż trzy na poszczególne części, jest wystarczającym uzasadnieniem?” Urząd Zamówień Publicznych zwraca uwagę, że „ustawodawca europejski za okoliczność uzasadniającą rezygnację z podziału na części uznał jedynie nadmierne trudności czy koszty oraz brak koordynacji, skutkujący poważną groźbą nieprawidłowej realizacji zamówienia. A contrario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 Jednakże zastrzec należy, że ocena ta powinna być dokonywana każdorazowo z uwzględnieniem wszystkich okoliczności danego przypadku.</w:t>
      </w:r>
    </w:p>
    <w:p w:rsidR="008016CB" w:rsidRDefault="008016CB">
      <w:pPr>
        <w:pStyle w:val="Tekstpodstawowywcity3"/>
        <w:spacing w:line="240" w:lineRule="auto"/>
        <w:ind w:firstLine="0"/>
        <w:rPr>
          <w:rFonts w:ascii="Verdana" w:hAnsi="Verdana"/>
          <w:b/>
          <w:sz w:val="20"/>
          <w:u w:val="single"/>
        </w:rPr>
      </w:pPr>
    </w:p>
    <w:p w:rsidR="0021206B" w:rsidRPr="00315D72" w:rsidRDefault="0021206B">
      <w:pPr>
        <w:pStyle w:val="Tekstpodstawowywcity3"/>
        <w:spacing w:line="240" w:lineRule="auto"/>
        <w:ind w:firstLine="0"/>
        <w:rPr>
          <w:rFonts w:ascii="Verdana" w:hAnsi="Verdana"/>
          <w:b/>
          <w:sz w:val="20"/>
          <w:u w:val="single"/>
        </w:rPr>
      </w:pPr>
      <w:r w:rsidRPr="00315D72">
        <w:rPr>
          <w:rFonts w:ascii="Verdana" w:hAnsi="Verdana"/>
          <w:b/>
          <w:sz w:val="20"/>
          <w:u w:val="single"/>
        </w:rPr>
        <w:t>Odpowiedź Z</w:t>
      </w:r>
      <w:r w:rsidR="0061472E" w:rsidRPr="00315D72">
        <w:rPr>
          <w:rFonts w:ascii="Verdana" w:hAnsi="Verdana"/>
          <w:b/>
          <w:sz w:val="20"/>
          <w:u w:val="single"/>
        </w:rPr>
        <w:t>a</w:t>
      </w:r>
      <w:r w:rsidRPr="00315D72">
        <w:rPr>
          <w:rFonts w:ascii="Verdana" w:hAnsi="Verdana"/>
          <w:b/>
          <w:sz w:val="20"/>
          <w:u w:val="single"/>
        </w:rPr>
        <w:t>mawiającego:</w:t>
      </w:r>
    </w:p>
    <w:p w:rsidR="0021206B" w:rsidRPr="008016CB" w:rsidRDefault="0021206B">
      <w:pPr>
        <w:rPr>
          <w:rFonts w:ascii="Verdana" w:hAnsi="Verdana"/>
        </w:rPr>
      </w:pPr>
    </w:p>
    <w:p w:rsidR="008016CB" w:rsidRPr="008016CB" w:rsidRDefault="008016CB" w:rsidP="008016CB">
      <w:pPr>
        <w:rPr>
          <w:rFonts w:ascii="Verdana" w:hAnsi="Verdana"/>
          <w:b/>
        </w:rPr>
      </w:pPr>
      <w:r w:rsidRPr="008016CB">
        <w:rPr>
          <w:rFonts w:ascii="Verdana" w:hAnsi="Verdana"/>
          <w:b/>
        </w:rPr>
        <w:t>Zamawiający nie przewiduje dopuszczenia ofert częściowych w postępowaniu K</w:t>
      </w:r>
      <w:bookmarkStart w:id="0" w:name="_GoBack"/>
      <w:bookmarkEnd w:id="0"/>
      <w:r w:rsidRPr="008016CB">
        <w:rPr>
          <w:rFonts w:ascii="Verdana" w:hAnsi="Verdana"/>
          <w:b/>
        </w:rPr>
        <w:t xml:space="preserve">C-zp.272-430/20. </w:t>
      </w:r>
    </w:p>
    <w:p w:rsidR="008016CB" w:rsidRPr="008016CB" w:rsidRDefault="008016CB" w:rsidP="008016CB">
      <w:pPr>
        <w:jc w:val="both"/>
        <w:rPr>
          <w:rFonts w:ascii="Verdana" w:hAnsi="Verdana"/>
        </w:rPr>
      </w:pPr>
      <w:r w:rsidRPr="008016CB">
        <w:rPr>
          <w:rFonts w:ascii="Verdana" w:hAnsi="Verdana"/>
        </w:rPr>
        <w:lastRenderedPageBreak/>
        <w:t>Zamawiający traktuje usługę szkoleniową, jako jeden cykl szkoleń składający się z 15 tematów, przeznaczony dla pracowników Uczelni. Tematy szkoleń dotyczą obszarów typowych dla administracji (m. in. finanse, księgowość, prawo pracy, kodeks cywilny, kodeks administracyjny, archiwizacja dokumentów, bezpieczeństwo informacji, korupcja) i zdaniem Zamawiającego na rynku jest wiele firm zdolnych do realizacji usługi w kształcie opisanym w S</w:t>
      </w:r>
      <w:r>
        <w:rPr>
          <w:rFonts w:ascii="Verdana" w:hAnsi="Verdana"/>
        </w:rPr>
        <w:t>IW</w:t>
      </w:r>
      <w:r w:rsidRPr="008016CB">
        <w:rPr>
          <w:rFonts w:ascii="Verdana" w:hAnsi="Verdana"/>
        </w:rPr>
        <w:t xml:space="preserve">Z, w tym również małych i średnich przedsiębiorców. </w:t>
      </w:r>
    </w:p>
    <w:p w:rsidR="008016CB" w:rsidRPr="008016CB" w:rsidRDefault="008016CB" w:rsidP="008016CB">
      <w:pPr>
        <w:jc w:val="both"/>
        <w:rPr>
          <w:rFonts w:ascii="Verdana" w:hAnsi="Verdana"/>
        </w:rPr>
      </w:pPr>
      <w:r w:rsidRPr="008016CB">
        <w:rPr>
          <w:rFonts w:ascii="Verdana" w:hAnsi="Verdana"/>
        </w:rPr>
        <w:t xml:space="preserve">Usługa szkolenia pracowników kadry zarządczej i administracyjnej AGH dotyczy realizacji projektu Zintegrowany Program Rozwoju Akademii Górniczo-Hutniczej w Krakowie nr POWR.03.05.00-00-Z307/17-00, Zadanie 6. Podniesienie kompetencji kadry administracyjnej. Zamawiający musi zadbać, aby zrealizować zadanie zgodnie z założeniami z wniosku projektowego tj. przeszkolić pracowników (podzielonych na grupy docelowe) z 15 tematów w określonym czasie, a także osiągnąć odpowiednie wskaźniki projektu. Ponadto Zamawiający jest ograniczony pulą środków przyznanych na realizację zadania przez instytucję finansującą, które w budżecie projektu są ujęte w pozycjach dla poszczególnych grup docelowych w odniesieniu do sumy godzin szkoleniowych dla danej grupy docelowej ze wszystkich tematów, a nie z podziałem na poszczególne tematy. </w:t>
      </w:r>
      <w:r w:rsidRPr="008016CB">
        <w:rPr>
          <w:rFonts w:ascii="Verdana" w:hAnsi="Verdana"/>
          <w:bCs/>
        </w:rPr>
        <w:t>Zakres zamówienia uzasadnia udzielenie zamówienia jednemu wykonawcy, który przyjmie na siebie odpowiedzialność za ryzyko niepowodzenia projektu, a dokonanie podziału zamówienia na części mogłoby to ryzyko przenieść na Zamawiającego i w konsekwencji uczynić niemożliwym osiągnięcie celu zamówienia publicznego.</w:t>
      </w:r>
    </w:p>
    <w:p w:rsidR="008016CB" w:rsidRPr="008016CB" w:rsidRDefault="008016CB" w:rsidP="008016CB">
      <w:pPr>
        <w:rPr>
          <w:rFonts w:ascii="Verdana" w:hAnsi="Verdana"/>
        </w:rPr>
      </w:pPr>
      <w:r w:rsidRPr="008016CB">
        <w:rPr>
          <w:rFonts w:ascii="Verdana" w:hAnsi="Verdana"/>
        </w:rPr>
        <w:t>W związku z powyższym, zdaniem Zamawiającego, podział usług szkoleniowych na 15 różnych części może skutkować niezrealizowaniem projektu ze względu na:</w:t>
      </w:r>
    </w:p>
    <w:p w:rsidR="008016CB" w:rsidRPr="008016CB" w:rsidRDefault="008016CB" w:rsidP="008016CB">
      <w:pPr>
        <w:pStyle w:val="Akapitzlist"/>
        <w:numPr>
          <w:ilvl w:val="0"/>
          <w:numId w:val="1"/>
        </w:numPr>
        <w:rPr>
          <w:rFonts w:ascii="Verdana" w:hAnsi="Verdana"/>
          <w:sz w:val="20"/>
          <w:szCs w:val="20"/>
        </w:rPr>
      </w:pPr>
      <w:r w:rsidRPr="008016CB">
        <w:rPr>
          <w:rFonts w:ascii="Verdana" w:hAnsi="Verdana"/>
          <w:sz w:val="20"/>
          <w:szCs w:val="20"/>
        </w:rPr>
        <w:t xml:space="preserve">uzyskanie 15 różnych cen, w tym cen przewyższających środki przewidziane w budżecie projektu, </w:t>
      </w:r>
    </w:p>
    <w:p w:rsidR="008016CB" w:rsidRPr="008016CB" w:rsidRDefault="008016CB" w:rsidP="008016CB">
      <w:pPr>
        <w:pStyle w:val="Akapitzlist"/>
        <w:numPr>
          <w:ilvl w:val="0"/>
          <w:numId w:val="1"/>
        </w:numPr>
        <w:spacing w:after="0"/>
        <w:ind w:left="714" w:hanging="357"/>
        <w:rPr>
          <w:rFonts w:ascii="Verdana" w:hAnsi="Verdana"/>
          <w:sz w:val="20"/>
          <w:szCs w:val="20"/>
        </w:rPr>
      </w:pPr>
      <w:r w:rsidRPr="008016CB">
        <w:rPr>
          <w:rFonts w:ascii="Verdana" w:hAnsi="Verdana"/>
          <w:sz w:val="20"/>
          <w:szCs w:val="20"/>
        </w:rPr>
        <w:t>brakiem ofert na niektóre szkolenia, w przypadku tematów mniej popularnych.</w:t>
      </w:r>
    </w:p>
    <w:p w:rsidR="008016CB" w:rsidRPr="008016CB" w:rsidRDefault="008016CB" w:rsidP="008016CB">
      <w:pPr>
        <w:jc w:val="both"/>
        <w:rPr>
          <w:rFonts w:ascii="Verdana" w:hAnsi="Verdana"/>
        </w:rPr>
      </w:pPr>
      <w:r w:rsidRPr="008016CB">
        <w:rPr>
          <w:rFonts w:ascii="Verdana" w:hAnsi="Verdana"/>
        </w:rPr>
        <w:t>Powyższe może skutkować brakiem wyboru Wykonawcy do niektórych tematów</w:t>
      </w:r>
      <w:r>
        <w:rPr>
          <w:rFonts w:ascii="Verdana" w:hAnsi="Verdana"/>
        </w:rPr>
        <w:t>,</w:t>
      </w:r>
      <w:r w:rsidRPr="008016CB">
        <w:rPr>
          <w:rFonts w:ascii="Verdana" w:hAnsi="Verdana"/>
        </w:rPr>
        <w:t xml:space="preserve"> a w rezultacie może być zagrożeniem dla terminu realizacji całego projektu. </w:t>
      </w:r>
    </w:p>
    <w:p w:rsidR="008016CB" w:rsidRPr="008016CB" w:rsidRDefault="008016CB" w:rsidP="008016CB">
      <w:pPr>
        <w:jc w:val="both"/>
        <w:rPr>
          <w:rFonts w:ascii="Verdana" w:hAnsi="Verdana"/>
        </w:rPr>
      </w:pPr>
      <w:r w:rsidRPr="008016CB">
        <w:rPr>
          <w:rFonts w:ascii="Verdana" w:hAnsi="Verdana"/>
        </w:rPr>
        <w:t xml:space="preserve">Ponadto w przypadku realizacji usługi przez kilku lub kilkunastu Wykonawców, organizacja szkoleń dla 9 grup (180 osób) pociąga za sobą </w:t>
      </w:r>
      <w:r w:rsidRPr="008016CB">
        <w:rPr>
          <w:rFonts w:ascii="Verdana" w:hAnsi="Verdana"/>
          <w:bCs/>
        </w:rPr>
        <w:t>potrzebę skoordynowania działań różnych wykonawców realizujących poszczególne części zamówienia, co mogłoby poważnie zagrozić właściwemu wykonaniu zamówienia.</w:t>
      </w:r>
    </w:p>
    <w:p w:rsidR="0021206B" w:rsidRDefault="0021206B">
      <w:pPr>
        <w:spacing w:line="360" w:lineRule="auto"/>
        <w:jc w:val="both"/>
        <w:rPr>
          <w:rFonts w:ascii="Verdana" w:hAnsi="Verdana"/>
          <w:i/>
        </w:rPr>
      </w:pPr>
    </w:p>
    <w:p w:rsidR="008016CB" w:rsidRPr="008016CB" w:rsidRDefault="008016CB">
      <w:pPr>
        <w:spacing w:line="360" w:lineRule="auto"/>
        <w:jc w:val="both"/>
        <w:rPr>
          <w:rFonts w:ascii="Verdana" w:hAnsi="Verdana"/>
          <w:i/>
        </w:rPr>
      </w:pPr>
    </w:p>
    <w:p w:rsidR="008016CB" w:rsidRPr="008016CB" w:rsidRDefault="008016CB" w:rsidP="008016CB">
      <w:pPr>
        <w:tabs>
          <w:tab w:val="left" w:pos="5250"/>
        </w:tabs>
        <w:jc w:val="right"/>
        <w:rPr>
          <w:rFonts w:ascii="Verdana" w:hAnsi="Verdana"/>
        </w:rPr>
      </w:pPr>
      <w:r w:rsidRPr="008016CB">
        <w:rPr>
          <w:rFonts w:ascii="Verdana" w:hAnsi="Verdana"/>
        </w:rPr>
        <w:t xml:space="preserve">Kanclerz AGH                                                                        </w:t>
      </w:r>
    </w:p>
    <w:p w:rsidR="008016CB" w:rsidRPr="008016CB" w:rsidRDefault="008016CB" w:rsidP="008016CB">
      <w:pPr>
        <w:tabs>
          <w:tab w:val="left" w:pos="5250"/>
        </w:tabs>
        <w:jc w:val="right"/>
        <w:rPr>
          <w:rFonts w:ascii="Verdana" w:hAnsi="Verdana"/>
        </w:rPr>
      </w:pPr>
    </w:p>
    <w:p w:rsidR="008016CB" w:rsidRPr="008016CB" w:rsidRDefault="008016CB" w:rsidP="008016CB">
      <w:pPr>
        <w:tabs>
          <w:tab w:val="left" w:pos="5250"/>
        </w:tabs>
        <w:jc w:val="right"/>
        <w:rPr>
          <w:rFonts w:ascii="Verdana" w:hAnsi="Verdana"/>
        </w:rPr>
      </w:pPr>
    </w:p>
    <w:p w:rsidR="008016CB" w:rsidRPr="008016CB" w:rsidRDefault="008016CB" w:rsidP="008016CB">
      <w:pPr>
        <w:jc w:val="right"/>
        <w:rPr>
          <w:rFonts w:ascii="Verdana" w:hAnsi="Verdana"/>
        </w:rPr>
      </w:pPr>
      <w:r w:rsidRPr="008016CB">
        <w:rPr>
          <w:rFonts w:ascii="Verdana" w:hAnsi="Verdana"/>
        </w:rPr>
        <w:t xml:space="preserve"> mgr inż. Henryk Zioło</w:t>
      </w:r>
    </w:p>
    <w:p w:rsidR="008016CB" w:rsidRPr="008016CB" w:rsidRDefault="008016CB" w:rsidP="008016CB">
      <w:pPr>
        <w:tabs>
          <w:tab w:val="left" w:pos="5250"/>
        </w:tabs>
        <w:jc w:val="right"/>
        <w:rPr>
          <w:rFonts w:ascii="Verdana" w:hAnsi="Verdana"/>
        </w:rPr>
      </w:pPr>
    </w:p>
    <w:p w:rsidR="00943AEF" w:rsidRPr="00943AEF" w:rsidRDefault="00943AEF" w:rsidP="00943AEF">
      <w:pPr>
        <w:pStyle w:val="Tekstpodstawowy"/>
        <w:ind w:firstLine="423"/>
        <w:jc w:val="right"/>
        <w:rPr>
          <w:rFonts w:ascii="Verdana" w:hAnsi="Verdana"/>
          <w:sz w:val="20"/>
        </w:rPr>
      </w:pPr>
    </w:p>
    <w:sectPr w:rsidR="00943AEF" w:rsidRPr="00943AEF" w:rsidSect="00CF0D7C">
      <w:headerReference w:type="even" r:id="rId7"/>
      <w:headerReference w:type="default" r:id="rId8"/>
      <w:footerReference w:type="even" r:id="rId9"/>
      <w:footerReference w:type="default" r:id="rId10"/>
      <w:headerReference w:type="first" r:id="rId11"/>
      <w:footerReference w:type="first" r:id="rId12"/>
      <w:pgSz w:w="11906" w:h="16838" w:code="9"/>
      <w:pgMar w:top="2835" w:right="1134" w:bottom="1276"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AC" w:rsidRDefault="008B3CAC">
      <w:r>
        <w:separator/>
      </w:r>
    </w:p>
  </w:endnote>
  <w:endnote w:type="continuationSeparator" w:id="0">
    <w:p w:rsidR="008B3CAC" w:rsidRDefault="008B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347E12" w:rsidP="00347E12">
    <w:pPr>
      <w:pStyle w:val="Stopka"/>
      <w:rPr>
        <w:rFonts w:ascii="Verdana" w:hAnsi="Verdana" w:cs="Arial"/>
        <w:b/>
        <w:sz w:val="14"/>
        <w:szCs w:val="14"/>
      </w:rPr>
    </w:pPr>
    <w:r w:rsidRPr="00633BD9">
      <w:rPr>
        <w:rFonts w:ascii="Verdana" w:hAnsi="Verdana" w:cs="Arial"/>
        <w:b/>
        <w:sz w:val="14"/>
        <w:szCs w:val="14"/>
      </w:rPr>
      <w:t>Akademia Górniczo–Hutnicza |</w:t>
    </w:r>
    <w:r w:rsidR="00FC588B">
      <w:rPr>
        <w:rFonts w:ascii="Verdana" w:hAnsi="Verdana" w:cs="Arial"/>
        <w:b/>
        <w:sz w:val="14"/>
        <w:szCs w:val="14"/>
      </w:rPr>
      <w:t xml:space="preserve">Pion </w:t>
    </w:r>
    <w:r>
      <w:rPr>
        <w:rFonts w:ascii="Verdana" w:hAnsi="Verdana" w:cs="Arial"/>
        <w:b/>
        <w:sz w:val="14"/>
        <w:szCs w:val="14"/>
      </w:rPr>
      <w:t>Kanclerz</w:t>
    </w:r>
    <w:r w:rsidR="00FC588B">
      <w:rPr>
        <w:rFonts w:ascii="Verdana" w:hAnsi="Verdana" w:cs="Arial"/>
        <w:b/>
        <w:sz w:val="14"/>
        <w:szCs w:val="14"/>
      </w:rPr>
      <w:t>a</w:t>
    </w:r>
    <w:r>
      <w:rPr>
        <w:rFonts w:ascii="Verdana" w:hAnsi="Verdana" w:cs="Arial"/>
        <w:b/>
        <w:sz w:val="14"/>
        <w:szCs w:val="14"/>
      </w:rPr>
      <w:t xml:space="preserve">, </w:t>
    </w:r>
    <w:r w:rsidRPr="00633BD9">
      <w:rPr>
        <w:rFonts w:ascii="Verdana" w:hAnsi="Verdana" w:cs="Arial"/>
        <w:b/>
        <w:sz w:val="14"/>
        <w:szCs w:val="14"/>
      </w:rPr>
      <w:t xml:space="preserve">Dział Zamówień </w:t>
    </w:r>
    <w:r>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 xml:space="preserve">+48 12 617 35 95, </w:t>
    </w:r>
    <w:proofErr w:type="spellStart"/>
    <w:r w:rsidRPr="00633BD9">
      <w:rPr>
        <w:rFonts w:ascii="Verdana" w:hAnsi="Verdana" w:cs="Arial"/>
        <w:sz w:val="14"/>
        <w:szCs w:val="14"/>
        <w:lang w:val="de-DE"/>
      </w:rPr>
      <w:t>fax</w:t>
    </w:r>
    <w:proofErr w:type="spellEnd"/>
    <w:r w:rsidRPr="00633BD9">
      <w:rPr>
        <w:rFonts w:ascii="Verdana" w:hAnsi="Verdana" w:cs="Arial"/>
        <w:sz w:val="14"/>
        <w:szCs w:val="14"/>
        <w:lang w:val="de-DE"/>
      </w:rPr>
      <w:t xml:space="preserve">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AC" w:rsidRDefault="008B3CAC">
      <w:r>
        <w:separator/>
      </w:r>
    </w:p>
  </w:footnote>
  <w:footnote w:type="continuationSeparator" w:id="0">
    <w:p w:rsidR="008B3CAC" w:rsidRDefault="008B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E1" w:rsidRDefault="00BA48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111ECD" w:rsidP="00943AEF">
    <w:pPr>
      <w:pStyle w:val="Nagwek"/>
      <w:tabs>
        <w:tab w:val="clear" w:pos="4536"/>
        <w:tab w:val="clear" w:pos="9072"/>
        <w:tab w:val="left" w:pos="1980"/>
      </w:tabs>
      <w:ind w:hanging="1560"/>
    </w:pPr>
    <w:r>
      <w:rPr>
        <w:noProof/>
      </w:rPr>
      <w:drawing>
        <wp:inline distT="0" distB="0" distL="0" distR="0">
          <wp:extent cx="523875" cy="1019175"/>
          <wp:effectExtent l="0" t="0" r="0" b="0"/>
          <wp:docPr id="10" name="Obraz 10" descr="logo agh ory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h ory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1019175"/>
                  </a:xfrm>
                  <a:prstGeom prst="rect">
                    <a:avLst/>
                  </a:prstGeom>
                  <a:noFill/>
                  <a:ln>
                    <a:noFill/>
                  </a:ln>
                </pic:spPr>
              </pic:pic>
            </a:graphicData>
          </a:graphic>
        </wp:inline>
      </w:drawing>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111ECD"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drawing>
        <wp:inline distT="0" distB="0" distL="0" distR="0">
          <wp:extent cx="2657475" cy="1362075"/>
          <wp:effectExtent l="0" t="0" r="0" b="0"/>
          <wp:docPr id="11" name="Obraz 1" descr="logo agh firm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agh firmó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1362075"/>
                  </a:xfrm>
                  <a:prstGeom prst="rect">
                    <a:avLst/>
                  </a:prstGeom>
                  <a:noFill/>
                  <a:ln>
                    <a:noFill/>
                  </a:ln>
                </pic:spPr>
              </pic:pic>
            </a:graphicData>
          </a:graphic>
        </wp:inline>
      </w:drawing>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111ECD" w:rsidP="00347E12">
    <w:pPr>
      <w:pStyle w:val="Nagwek"/>
      <w:tabs>
        <w:tab w:val="clear" w:pos="9072"/>
        <w:tab w:val="right" w:pos="7371"/>
      </w:tabs>
      <w:rPr>
        <w:rFonts w:ascii="Verdana" w:hAnsi="Verdana"/>
        <w:sz w:val="16"/>
        <w:szCs w:val="16"/>
      </w:rPr>
    </w:pPr>
    <w:r>
      <w:rPr>
        <w:noProof/>
      </w:rPr>
      <w:drawing>
        <wp:inline distT="0" distB="0" distL="0" distR="0">
          <wp:extent cx="4905375" cy="447675"/>
          <wp:effectExtent l="0" t="0" r="0" b="0"/>
          <wp:docPr id="12" name="Obraz 12" descr="Log_POWE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_POWER_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5375" cy="447675"/>
                  </a:xfrm>
                  <a:prstGeom prst="rect">
                    <a:avLst/>
                  </a:prstGeom>
                  <a:noFill/>
                  <a:ln>
                    <a:noFill/>
                  </a:ln>
                </pic:spPr>
              </pic:pic>
            </a:graphicData>
          </a:graphic>
        </wp:inline>
      </w:drawing>
    </w: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11060"/>
    <w:multiLevelType w:val="hybridMultilevel"/>
    <w:tmpl w:val="CA9EC6E8"/>
    <w:lvl w:ilvl="0" w:tplc="E28A4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FD"/>
    <w:rsid w:val="000607BF"/>
    <w:rsid w:val="000A2D5C"/>
    <w:rsid w:val="000C4220"/>
    <w:rsid w:val="000D254E"/>
    <w:rsid w:val="001102A4"/>
    <w:rsid w:val="00111ECD"/>
    <w:rsid w:val="00130D1C"/>
    <w:rsid w:val="00180DBD"/>
    <w:rsid w:val="0021206B"/>
    <w:rsid w:val="002405E1"/>
    <w:rsid w:val="00315D72"/>
    <w:rsid w:val="00333103"/>
    <w:rsid w:val="00347E12"/>
    <w:rsid w:val="003B15E7"/>
    <w:rsid w:val="003F7802"/>
    <w:rsid w:val="00476899"/>
    <w:rsid w:val="00542F2E"/>
    <w:rsid w:val="005A7BE4"/>
    <w:rsid w:val="0061472E"/>
    <w:rsid w:val="006E058A"/>
    <w:rsid w:val="00721200"/>
    <w:rsid w:val="00775A72"/>
    <w:rsid w:val="007B12A7"/>
    <w:rsid w:val="008016CB"/>
    <w:rsid w:val="00825F26"/>
    <w:rsid w:val="0083033C"/>
    <w:rsid w:val="008B3CAC"/>
    <w:rsid w:val="00943AEF"/>
    <w:rsid w:val="009B3CE0"/>
    <w:rsid w:val="009F4EC1"/>
    <w:rsid w:val="00A17896"/>
    <w:rsid w:val="00A27DDB"/>
    <w:rsid w:val="00A45032"/>
    <w:rsid w:val="00BA48E1"/>
    <w:rsid w:val="00C529DB"/>
    <w:rsid w:val="00C914F4"/>
    <w:rsid w:val="00CA338E"/>
    <w:rsid w:val="00CB1285"/>
    <w:rsid w:val="00CF0D7C"/>
    <w:rsid w:val="00D108D9"/>
    <w:rsid w:val="00D733FD"/>
    <w:rsid w:val="00D74780"/>
    <w:rsid w:val="00D90657"/>
    <w:rsid w:val="00DD218F"/>
    <w:rsid w:val="00DD2AB3"/>
    <w:rsid w:val="00DF0345"/>
    <w:rsid w:val="00E5026B"/>
    <w:rsid w:val="00E700D7"/>
    <w:rsid w:val="00E76CE4"/>
    <w:rsid w:val="00F255EB"/>
    <w:rsid w:val="00F271D3"/>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8DA4C"/>
  <w15:chartTrackingRefBased/>
  <w15:docId w15:val="{14EBFC79-096A-49D1-B6AC-B0AE580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spacing w:line="360" w:lineRule="auto"/>
      <w:jc w:val="center"/>
      <w:outlineLvl w:val="1"/>
    </w:pPr>
    <w:rPr>
      <w:rFonts w:ascii="Arial" w:hAnsi="Arial"/>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rPr>
  </w:style>
  <w:style w:type="paragraph" w:styleId="Nagwek">
    <w:name w:val="header"/>
    <w:basedOn w:val="Normalny"/>
    <w:pPr>
      <w:tabs>
        <w:tab w:val="center" w:pos="4536"/>
        <w:tab w:val="right" w:pos="9072"/>
      </w:tabs>
    </w:pPr>
  </w:style>
  <w:style w:type="paragraph" w:styleId="Tekstpodstawowywcity3">
    <w:name w:val="Body Text Indent 3"/>
    <w:basedOn w:val="Normalny"/>
    <w:pPr>
      <w:spacing w:line="360" w:lineRule="auto"/>
      <w:ind w:firstLine="426"/>
      <w:jc w:val="both"/>
    </w:pPr>
    <w:rPr>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sz w:val="24"/>
    </w:rPr>
  </w:style>
  <w:style w:type="paragraph" w:styleId="Stopka">
    <w:name w:val="footer"/>
    <w:basedOn w:val="Normalny"/>
    <w:rsid w:val="0061472E"/>
    <w:pPr>
      <w:tabs>
        <w:tab w:val="center" w:pos="4536"/>
        <w:tab w:val="right" w:pos="9072"/>
      </w:tabs>
    </w:p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sz w:val="24"/>
      <w:szCs w:val="24"/>
    </w:rPr>
  </w:style>
  <w:style w:type="paragraph" w:styleId="Akapitzlist">
    <w:name w:val="List Paragraph"/>
    <w:basedOn w:val="Normalny"/>
    <w:uiPriority w:val="34"/>
    <w:qFormat/>
    <w:rsid w:val="008016CB"/>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F0D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TR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Pages>
  <Words>881</Words>
  <Characters>6357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Anna Trybus</dc:creator>
  <cp:keywords/>
  <dc:description/>
  <cp:lastModifiedBy>Anna Trybus</cp:lastModifiedBy>
  <cp:revision>2</cp:revision>
  <cp:lastPrinted>2020-09-17T08:31:00Z</cp:lastPrinted>
  <dcterms:created xsi:type="dcterms:W3CDTF">2020-09-17T08:31:00Z</dcterms:created>
  <dcterms:modified xsi:type="dcterms:W3CDTF">2020-09-17T08:31:00Z</dcterms:modified>
</cp:coreProperties>
</file>