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D91" w:rsidRPr="00772D91" w:rsidRDefault="00772D91" w:rsidP="003156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nr 540168124-N-2020 z dnia 04-09-2020 r.</w:t>
      </w:r>
    </w:p>
    <w:p w:rsidR="0031562A" w:rsidRDefault="0031562A" w:rsidP="00772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2D91" w:rsidRPr="00772D91" w:rsidRDefault="00772D91" w:rsidP="00772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>Kraków: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772D91" w:rsidRPr="00772D91" w:rsidRDefault="00772D91" w:rsidP="00772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72D91" w:rsidRPr="00772D91" w:rsidRDefault="00772D91" w:rsidP="00772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772D91" w:rsidRPr="00772D91" w:rsidRDefault="00772D91" w:rsidP="00772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2D9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72D91" w:rsidRPr="00772D91" w:rsidRDefault="00772D91" w:rsidP="00772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578468-N-2020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28/08/2020 </w:t>
      </w:r>
    </w:p>
    <w:p w:rsidR="00772D91" w:rsidRPr="00772D91" w:rsidRDefault="00772D91" w:rsidP="00772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2D9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72D91" w:rsidRPr="00772D91" w:rsidRDefault="00772D91" w:rsidP="00772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Specjalistyczny im. Stefana Żeromskiego Samodzielny Publiczny Zakład Opieki Zdrowotnej w Krakowie, Krajowy numer identyfikacyjny 63016100000000, ul. os. Na Skarpie  66, 31-913  Kraków, woj. małopolskie, państwo Polska, tel. (012) 6441956, e-mail zpubl@zeromski-szpital.pl, faks (012) 6444756.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www.zeromski-szpital.pl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www.zeromski-szpital.pl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https://e-propublico.pl/ </w:t>
      </w:r>
    </w:p>
    <w:p w:rsidR="00772D91" w:rsidRPr="00772D91" w:rsidRDefault="00772D91" w:rsidP="00772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2D9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772D91" w:rsidRPr="00772D91" w:rsidRDefault="00772D91" w:rsidP="00772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72D91" w:rsidRPr="00772D91" w:rsidRDefault="00772D91" w:rsidP="00772D9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2020-09-08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2020-09-09 </w:t>
      </w:r>
    </w:p>
    <w:p w:rsidR="00772D91" w:rsidRPr="00772D91" w:rsidRDefault="00772D91" w:rsidP="00772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Tekst, który należy dodać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72D91" w:rsidRPr="00772D91" w:rsidRDefault="00772D91" w:rsidP="00772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proofErr w:type="spellStart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>Załcznik</w:t>
      </w:r>
      <w:proofErr w:type="spellEnd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część 2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Tekst, który należy dodać w ogłoszeniu: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dopuszcza w poz. 1-3 opatrunki </w:t>
      </w:r>
      <w:proofErr w:type="spellStart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>hydrokoloidowe</w:t>
      </w:r>
      <w:proofErr w:type="spellEnd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należące do klasy III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I Część 2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Tekst, który należy dodać w ogłoszeniu: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dopuszcza w poz. 4 sterylny , przezroczysty żel </w:t>
      </w:r>
      <w:proofErr w:type="spellStart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>hydokoloidowy</w:t>
      </w:r>
      <w:proofErr w:type="spellEnd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należący do klasy </w:t>
      </w:r>
      <w:proofErr w:type="spellStart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>IIb</w:t>
      </w:r>
      <w:proofErr w:type="spellEnd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proofErr w:type="spellStart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>Zalącznik</w:t>
      </w:r>
      <w:proofErr w:type="spellEnd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część 6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2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Tekst, który należy dodać w ogłoszeniu: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dopuszcza w poz. 1-2 materiał hemostatyczny o czasie hemostazy w </w:t>
      </w:r>
      <w:proofErr w:type="spellStart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>ciagu</w:t>
      </w:r>
      <w:proofErr w:type="spellEnd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min. Zamawiający dopuszcza w poz. 1 Materiał hemostatyczny postaci gazy wykonanej z utlenionej celulozy, całkowicie biodegradowalna w organizmie człowieka w okresie do 4 tygodni. </w:t>
      </w:r>
      <w:proofErr w:type="spellStart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>pH</w:t>
      </w:r>
      <w:proofErr w:type="spellEnd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2-4, sterylizowana promieniami gamma. Rozmiar 5x7 cm pod warunkiem spełnienia pozostałych </w:t>
      </w:r>
      <w:proofErr w:type="spellStart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>parametrow</w:t>
      </w:r>
      <w:proofErr w:type="spellEnd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poz. 2 Materiał hemostatyczny postaci gazy wykonanej z utlenionej celulozy, całkowicie biodegradowalna w organizmie człowieka w okresie do 4 tygodni. </w:t>
      </w:r>
      <w:proofErr w:type="spellStart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>pH</w:t>
      </w:r>
      <w:proofErr w:type="spellEnd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2-4, sterylizowana promieniami gamma. </w:t>
      </w:r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Rozmiar 10x20 cm pod ww. warunkiem. Zamawiający dopuszcza w poz. 1 gazę hemostatyczną w formie luźno dzianej siatki z oksydowanej regenerowanej celulozy, zawartość grupy karboksylowej 18-21%, </w:t>
      </w:r>
      <w:proofErr w:type="spellStart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>pH</w:t>
      </w:r>
      <w:proofErr w:type="spellEnd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2,5-3,5 udokumentowane badaniem klinicznym IN VIVO, bakteriobójczość na szczepy MRSA, MRSE, PRSP, VRE - udokumentowana badaniem przedklinicznym IN VITRO i wpisana do instrukcji użytkowania, hemostaza osiągana w czasie 2-8 minut, czas wchłaniania 7-14 dni, rozmiar 5cm x 7,5cm w poz. 2 gazę hemostatyczną w formie luźno dzianej siatki z oksydowanej regenerowanej celulozy, zawartość grupy karboksylowej 18-21%, </w:t>
      </w:r>
      <w:proofErr w:type="spellStart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>pH</w:t>
      </w:r>
      <w:proofErr w:type="spellEnd"/>
      <w:r w:rsidRPr="0077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2,5-3,5 udokumentowane badaniem klinicznym IN VIVO, bakteriobójczość na szczepy MRSA, MRSE, PRSP, VRE - udokumentowana badaniem przedklinicznym IN VITRO i wpisana do instrukcji użytkowania, hemostaza osiągana w czasie 2-8 minut, czas wchłaniania 7-14 dni, rozmiar 10cm x 20cm </w:t>
      </w:r>
    </w:p>
    <w:p w:rsidR="00307418" w:rsidRDefault="00307418"/>
    <w:sectPr w:rsidR="00307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D91"/>
    <w:rsid w:val="00307418"/>
    <w:rsid w:val="0031562A"/>
    <w:rsid w:val="0077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850B5"/>
  <w15:chartTrackingRefBased/>
  <w15:docId w15:val="{A408AF1F-AE1A-4C97-8700-3106B45E4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2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24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2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04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2621</Characters>
  <Application>Microsoft Office Word</Application>
  <DocSecurity>0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2020-09-04T10:53:00Z</dcterms:created>
  <dcterms:modified xsi:type="dcterms:W3CDTF">2020-09-04T10:56:00Z</dcterms:modified>
</cp:coreProperties>
</file>