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985970">
      <w:pPr>
        <w:pStyle w:val="pkt"/>
        <w:ind w:left="0" w:firstLine="0"/>
        <w:rPr>
          <w:b/>
        </w:rPr>
      </w:pPr>
      <w:r w:rsidRPr="00985970">
        <w:rPr>
          <w:b/>
        </w:rPr>
        <w:t>Politechnika Częstochowska</w:t>
      </w:r>
    </w:p>
    <w:p w:rsidR="00EB7871" w:rsidRPr="003209A8" w:rsidRDefault="00985970">
      <w:pPr>
        <w:pStyle w:val="pkt"/>
        <w:ind w:left="0" w:firstLine="0"/>
        <w:rPr>
          <w:b/>
        </w:rPr>
      </w:pPr>
      <w:r w:rsidRPr="00985970">
        <w:rPr>
          <w:b/>
        </w:rPr>
        <w:t>Dąbrowskiego</w:t>
      </w:r>
      <w:r w:rsidR="00EB7871" w:rsidRPr="003209A8">
        <w:rPr>
          <w:b/>
        </w:rPr>
        <w:t xml:space="preserve"> </w:t>
      </w:r>
      <w:r w:rsidRPr="00985970">
        <w:rPr>
          <w:b/>
        </w:rPr>
        <w:t>69</w:t>
      </w:r>
      <w:r w:rsidR="00EB7871" w:rsidRPr="003209A8">
        <w:rPr>
          <w:b/>
        </w:rPr>
        <w:t xml:space="preserve"> </w:t>
      </w:r>
    </w:p>
    <w:p w:rsidR="00EB7871" w:rsidRPr="003209A8" w:rsidRDefault="00985970">
      <w:pPr>
        <w:pStyle w:val="pkt"/>
        <w:ind w:left="0" w:firstLine="0"/>
        <w:rPr>
          <w:b/>
        </w:rPr>
      </w:pPr>
      <w:r w:rsidRPr="00985970">
        <w:rPr>
          <w:b/>
        </w:rPr>
        <w:t>42-201</w:t>
      </w:r>
      <w:r w:rsidR="00EB7871" w:rsidRPr="003209A8">
        <w:rPr>
          <w:b/>
        </w:rPr>
        <w:t xml:space="preserve"> </w:t>
      </w:r>
      <w:r w:rsidRPr="00985970">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985970" w:rsidRPr="00985970">
        <w:rPr>
          <w:b/>
        </w:rPr>
        <w:t>ZP/D-39/A/20</w:t>
      </w:r>
      <w:r w:rsidRPr="003209A8">
        <w:tab/>
      </w:r>
      <w:r w:rsidR="00985970" w:rsidRPr="00985970">
        <w:t>Częstochowa</w:t>
      </w:r>
      <w:r w:rsidRPr="003209A8">
        <w:t xml:space="preserve">, </w:t>
      </w:r>
      <w:r w:rsidR="000012FC">
        <w:t>2020-09-01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85970" w:rsidRPr="00985970">
        <w:rPr>
          <w:b/>
          <w:sz w:val="32"/>
          <w:szCs w:val="32"/>
        </w:rPr>
        <w:t>Dostawa analizatora do badań zawartości wodoru  dla  Wydziału Infrastruktury i Środowiska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985970" w:rsidRPr="00985970">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985970" w:rsidRPr="00E44CEF">
        <w:t xml:space="preserve"> </w:t>
      </w:r>
      <w:r w:rsidRPr="00E44CEF">
        <w:t xml:space="preserve"> </w:t>
      </w:r>
      <w:r w:rsidR="00985970" w:rsidRPr="00E44CEF">
        <w:t xml:space="preserve"> </w:t>
      </w:r>
      <w:r w:rsidRPr="00E44CEF">
        <w:t xml:space="preserve"> </w:t>
      </w:r>
      <w:bookmarkEnd w:id="0"/>
      <w:r w:rsidR="00985970" w:rsidRPr="00E44CEF">
        <w:t xml:space="preserve">za pośrednictwem operatora pocztowego w rozumieniu ustawy z dnia 23 listopada 2012 r. – </w:t>
      </w:r>
      <w:bookmarkStart w:id="1" w:name="_Hlk37748783"/>
      <w:r w:rsidR="00985970" w:rsidRPr="00E44CEF">
        <w:t>Prawo pocztowe (t.j. Dz. U. z 2019r. poz. 1051 ze zm.)</w:t>
      </w:r>
      <w:bookmarkEnd w:id="1"/>
      <w:r w:rsidR="00985970" w:rsidRPr="00E44CEF">
        <w:t>, osobiście, za pośrednictwem posłańca, faksu lub przy użyciu środków komunikacji elektronicznej w rozumieniu ustawy z dnia 18 lipca 2002 r. o świadczeniu usług drogą elektroniczną (t.j.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985970">
      <w:pPr>
        <w:ind w:left="5940"/>
      </w:pPr>
      <w:r w:rsidRPr="00985970">
        <w:t>2020-09-01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85970">
      <w:pPr>
        <w:ind w:left="5940"/>
      </w:pPr>
      <w:r w:rsidRPr="00985970">
        <w:t>Arkadiusz Kociszewski</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985970" w:rsidRPr="00985970">
        <w:t>Politechnika Częstochowska</w:t>
      </w:r>
    </w:p>
    <w:p w:rsidR="009838C7" w:rsidRPr="00516BCE" w:rsidRDefault="009838C7" w:rsidP="001644FA">
      <w:pPr>
        <w:pStyle w:val="Tekstpodstawowy"/>
        <w:spacing w:after="0" w:line="276" w:lineRule="auto"/>
        <w:ind w:left="360"/>
      </w:pPr>
      <w:r>
        <w:t xml:space="preserve"> </w:t>
      </w:r>
      <w:r w:rsidR="00985970" w:rsidRPr="00985970">
        <w:t>Dąbrowskiego</w:t>
      </w:r>
      <w:r w:rsidRPr="00516BCE">
        <w:t xml:space="preserve"> </w:t>
      </w:r>
      <w:r w:rsidR="00985970" w:rsidRPr="00985970">
        <w:t>69</w:t>
      </w:r>
      <w:r w:rsidRPr="00516BCE">
        <w:t xml:space="preserve"> </w:t>
      </w:r>
    </w:p>
    <w:p w:rsidR="008B60B4" w:rsidRDefault="009838C7" w:rsidP="008B60B4">
      <w:pPr>
        <w:pStyle w:val="Tekstpodstawowy"/>
        <w:spacing w:after="0" w:line="276" w:lineRule="auto"/>
        <w:ind w:left="360"/>
      </w:pPr>
      <w:r>
        <w:t xml:space="preserve"> </w:t>
      </w:r>
      <w:r w:rsidR="00985970" w:rsidRPr="00985970">
        <w:t>42-201</w:t>
      </w:r>
      <w:r w:rsidRPr="00516BCE">
        <w:t xml:space="preserve"> </w:t>
      </w:r>
      <w:r w:rsidR="00985970" w:rsidRPr="00985970">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985970" w:rsidRPr="00985970">
        <w:rPr>
          <w:lang w:val="en-GB"/>
        </w:rPr>
        <w:t>34</w:t>
      </w:r>
      <w:r w:rsidRPr="00AA1892">
        <w:rPr>
          <w:lang w:val="en-GB"/>
        </w:rPr>
        <w:t xml:space="preserve"> </w:t>
      </w:r>
      <w:r w:rsidR="00985970" w:rsidRPr="00985970">
        <w:rPr>
          <w:lang w:val="en-GB"/>
        </w:rPr>
        <w:t>3250</w:t>
      </w:r>
      <w:r w:rsidR="000012FC">
        <w:rPr>
          <w:lang w:val="en-GB"/>
        </w:rPr>
        <w:t>415</w:t>
      </w:r>
    </w:p>
    <w:p w:rsidR="008B60B4" w:rsidRPr="00AA1892" w:rsidRDefault="008B60B4" w:rsidP="008B60B4">
      <w:pPr>
        <w:pStyle w:val="Tekstpodstawowy"/>
        <w:spacing w:after="0" w:line="276" w:lineRule="auto"/>
        <w:ind w:left="360"/>
        <w:rPr>
          <w:lang w:val="en-GB"/>
        </w:rPr>
      </w:pPr>
      <w:r w:rsidRPr="00AA1892">
        <w:rPr>
          <w:lang w:val="en-GB"/>
        </w:rPr>
        <w:t xml:space="preserve"> Faks: </w:t>
      </w:r>
      <w:r w:rsidR="00985970" w:rsidRPr="00985970">
        <w:rPr>
          <w:lang w:val="en-GB"/>
        </w:rPr>
        <w:t>34</w:t>
      </w:r>
      <w:r w:rsidRPr="00AA1892">
        <w:rPr>
          <w:sz w:val="18"/>
          <w:szCs w:val="18"/>
          <w:lang w:val="en-GB"/>
        </w:rPr>
        <w:t xml:space="preserve"> </w:t>
      </w:r>
      <w:r w:rsidR="00985970" w:rsidRPr="00985970">
        <w:rPr>
          <w:sz w:val="18"/>
          <w:szCs w:val="18"/>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0012FC">
        <w:rPr>
          <w:lang w:val="en-GB"/>
        </w:rPr>
        <w:t>arakoczy</w:t>
      </w:r>
      <w:r w:rsidR="00985970" w:rsidRPr="00985970">
        <w:rPr>
          <w:color w:val="0000FF"/>
          <w:lang w:val="en-GB"/>
        </w:rPr>
        <w:t>@adm.pcz.czest.pl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985970" w:rsidRPr="00985970">
        <w:rPr>
          <w:color w:val="0000FF"/>
          <w:u w:val="single"/>
        </w:rPr>
        <w:t>www.pcz.pl</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985970" w:rsidRPr="00985970">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0012FC" w:rsidRDefault="008F7292" w:rsidP="000012FC">
      <w:pPr>
        <w:pStyle w:val="Nagwek2"/>
        <w:numPr>
          <w:ilvl w:val="1"/>
          <w:numId w:val="42"/>
        </w:numPr>
        <w:tabs>
          <w:tab w:val="left" w:pos="708"/>
        </w:tabs>
        <w:rPr>
          <w:lang w:val="pl-PL"/>
        </w:rPr>
      </w:pPr>
      <w:r w:rsidRPr="00D91376">
        <w:t xml:space="preserve">Przedmiotem zamówienia jest </w:t>
      </w:r>
      <w:r w:rsidR="00985970" w:rsidRPr="00985970">
        <w:t>Dostawa analizatora do badań zawartości wodoru  dla  Wydziału Infrastruktury i Środowiska  Politechniki Częstochowskiej</w:t>
      </w:r>
      <w:r w:rsidRPr="00D91376">
        <w:t>.</w:t>
      </w:r>
      <w:r w:rsidR="000012FC" w:rsidRPr="000012FC">
        <w:rPr>
          <w:lang w:val="pl-PL"/>
        </w:rPr>
        <w:t xml:space="preserve"> </w:t>
      </w:r>
      <w:r w:rsidR="000012FC">
        <w:rPr>
          <w:lang w:val="pl-PL"/>
        </w:rPr>
        <w:t>Przedmiot zamówienia został opisany poprzez wskazanie wymagań minimalnych.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985970" w:rsidRPr="00D91376" w:rsidTr="008C4D39">
        <w:tc>
          <w:tcPr>
            <w:tcW w:w="8651" w:type="dxa"/>
          </w:tcPr>
          <w:p w:rsidR="00985970" w:rsidRPr="00D91376" w:rsidRDefault="00985970" w:rsidP="008C4D39">
            <w:pPr>
              <w:pStyle w:val="Tekstpodstawowy"/>
              <w:spacing w:before="80"/>
              <w:rPr>
                <w:b/>
              </w:rPr>
            </w:pPr>
            <w:r w:rsidRPr="00D91376">
              <w:rPr>
                <w:b/>
              </w:rPr>
              <w:t xml:space="preserve">Wspólny Słownik Zamówień: </w:t>
            </w:r>
            <w:r w:rsidRPr="00985970">
              <w:t>38543000-3 - Urządzenia do wykrywania gazów</w:t>
            </w:r>
            <w:r w:rsidRPr="00D91376">
              <w:t xml:space="preserve"> </w:t>
            </w:r>
          </w:p>
          <w:p w:rsidR="00985970" w:rsidRDefault="00985970" w:rsidP="008C4D39">
            <w:pPr>
              <w:pStyle w:val="Tekstpodstawowy"/>
            </w:pPr>
            <w:r w:rsidRPr="00985970">
              <w:t>Dostawa analizatora do badań zawartości wodoru  dla  Wydziału Infrastruktury i Środowiska  Politechniki Częstochowskiej    zgodnie z opisem  przedmiotu zamówienia zawartym w SIWZ</w:t>
            </w:r>
          </w:p>
          <w:p w:rsidR="000012FC" w:rsidRPr="00A34E0F" w:rsidRDefault="000012FC" w:rsidP="000012FC">
            <w:pPr>
              <w:spacing w:line="360" w:lineRule="auto"/>
              <w:ind w:left="284"/>
            </w:pPr>
            <w:r w:rsidRPr="00A34E0F">
              <w:rPr>
                <w:b/>
                <w:u w:val="single"/>
              </w:rPr>
              <w:t>Analizator do badań zawartości wodoru</w:t>
            </w:r>
            <w:r w:rsidRPr="00A34E0F">
              <w:t xml:space="preserve"> </w:t>
            </w:r>
          </w:p>
          <w:p w:rsidR="000012FC" w:rsidRDefault="000012FC" w:rsidP="000012FC">
            <w:pPr>
              <w:spacing w:line="360" w:lineRule="auto"/>
              <w:ind w:left="284"/>
            </w:pPr>
            <w:r>
              <w:t>Realizowane pomiary:</w:t>
            </w:r>
          </w:p>
          <w:p w:rsidR="000012FC" w:rsidRDefault="000012FC" w:rsidP="000012FC">
            <w:pPr>
              <w:numPr>
                <w:ilvl w:val="0"/>
                <w:numId w:val="39"/>
              </w:numPr>
              <w:spacing w:line="360" w:lineRule="auto"/>
            </w:pPr>
            <w:r>
              <w:t>Pomiar zawartości wodoru w zakresie min. 0% max. 100%</w:t>
            </w:r>
          </w:p>
          <w:p w:rsidR="000012FC" w:rsidRDefault="000012FC" w:rsidP="000012FC">
            <w:pPr>
              <w:numPr>
                <w:ilvl w:val="0"/>
                <w:numId w:val="39"/>
              </w:numPr>
              <w:spacing w:line="360" w:lineRule="auto"/>
            </w:pPr>
            <w:r>
              <w:t xml:space="preserve">Dokładność pomiaru zawartości wodoru min. ± 0,1% lub do 2% wartości odczytu </w:t>
            </w:r>
          </w:p>
          <w:p w:rsidR="000012FC" w:rsidRDefault="000012FC" w:rsidP="000012FC">
            <w:pPr>
              <w:numPr>
                <w:ilvl w:val="0"/>
                <w:numId w:val="39"/>
              </w:numPr>
              <w:spacing w:line="360" w:lineRule="auto"/>
            </w:pPr>
            <w:r>
              <w:t xml:space="preserve">Pomiar zawartości tlenu w zakresie min. 0% max. 25% </w:t>
            </w:r>
          </w:p>
          <w:p w:rsidR="000012FC" w:rsidRDefault="000012FC" w:rsidP="000012FC">
            <w:pPr>
              <w:numPr>
                <w:ilvl w:val="0"/>
                <w:numId w:val="39"/>
              </w:numPr>
              <w:spacing w:line="360" w:lineRule="auto"/>
            </w:pPr>
            <w:r>
              <w:t>Pomiar zawartości tlenu metodą paramagnetyczną lub równoważną</w:t>
            </w:r>
          </w:p>
          <w:p w:rsidR="000012FC" w:rsidRDefault="000012FC" w:rsidP="000012FC">
            <w:pPr>
              <w:numPr>
                <w:ilvl w:val="0"/>
                <w:numId w:val="39"/>
              </w:numPr>
              <w:spacing w:line="360" w:lineRule="auto"/>
            </w:pPr>
            <w:r>
              <w:t>Dokładność pomiaru zawartości tlenu min. ± 0,2%</w:t>
            </w:r>
          </w:p>
          <w:p w:rsidR="000012FC" w:rsidRDefault="000012FC" w:rsidP="000012FC">
            <w:pPr>
              <w:numPr>
                <w:ilvl w:val="0"/>
                <w:numId w:val="39"/>
              </w:numPr>
              <w:spacing w:line="360" w:lineRule="auto"/>
            </w:pPr>
            <w:r>
              <w:t>Pomiar temperatury gazu, badanie składu gazów o temperaturze do min. 800</w:t>
            </w:r>
            <w:r>
              <w:rPr>
                <w:vertAlign w:val="superscript"/>
              </w:rPr>
              <w:t>o</w:t>
            </w:r>
            <w:r>
              <w:t xml:space="preserve">C </w:t>
            </w:r>
          </w:p>
          <w:p w:rsidR="000012FC" w:rsidRDefault="000012FC" w:rsidP="000012FC">
            <w:pPr>
              <w:numPr>
                <w:ilvl w:val="0"/>
                <w:numId w:val="39"/>
              </w:numPr>
              <w:spacing w:line="360" w:lineRule="auto"/>
            </w:pPr>
            <w:r>
              <w:t>Przepływ próbkowanego gazu w zakresie min. 30dm</w:t>
            </w:r>
            <w:r>
              <w:rPr>
                <w:vertAlign w:val="superscript"/>
              </w:rPr>
              <w:t>3</w:t>
            </w:r>
            <w:r>
              <w:t>/h max. 60 dm</w:t>
            </w:r>
            <w:r>
              <w:rPr>
                <w:vertAlign w:val="superscript"/>
              </w:rPr>
              <w:t>3</w:t>
            </w:r>
            <w:r>
              <w:t xml:space="preserve">/h </w:t>
            </w:r>
          </w:p>
          <w:p w:rsidR="000012FC" w:rsidRDefault="000012FC" w:rsidP="000012FC">
            <w:pPr>
              <w:spacing w:line="360" w:lineRule="auto"/>
              <w:ind w:left="284"/>
            </w:pPr>
            <w:r>
              <w:t>Niezbędne wyposażenie urządzenia:</w:t>
            </w:r>
          </w:p>
          <w:p w:rsidR="000012FC" w:rsidRDefault="000012FC" w:rsidP="000012FC">
            <w:pPr>
              <w:numPr>
                <w:ilvl w:val="0"/>
                <w:numId w:val="40"/>
              </w:numPr>
              <w:spacing w:line="360" w:lineRule="auto"/>
            </w:pPr>
            <w:r>
              <w:t>Wyświetlacz wizualizujący wartość pomiarów</w:t>
            </w:r>
          </w:p>
          <w:p w:rsidR="000012FC" w:rsidRDefault="000012FC" w:rsidP="000012FC">
            <w:pPr>
              <w:numPr>
                <w:ilvl w:val="0"/>
                <w:numId w:val="40"/>
              </w:numPr>
              <w:spacing w:line="360" w:lineRule="auto"/>
            </w:pPr>
            <w:r>
              <w:t>Pamięć wewnętrzna do gromadzenia wyników pomiarów</w:t>
            </w:r>
          </w:p>
          <w:p w:rsidR="000012FC" w:rsidRDefault="000012FC" w:rsidP="000012FC">
            <w:pPr>
              <w:numPr>
                <w:ilvl w:val="0"/>
                <w:numId w:val="40"/>
              </w:numPr>
              <w:spacing w:line="360" w:lineRule="auto"/>
            </w:pPr>
            <w:r>
              <w:t>Zdalna komunikacja z komputerem PC w celu przesyłania wyników pomiarów</w:t>
            </w:r>
          </w:p>
          <w:p w:rsidR="000012FC" w:rsidRDefault="000012FC" w:rsidP="000012FC">
            <w:pPr>
              <w:numPr>
                <w:ilvl w:val="0"/>
                <w:numId w:val="40"/>
              </w:numPr>
              <w:spacing w:line="360" w:lineRule="auto"/>
            </w:pPr>
            <w:r>
              <w:t>Sonda odporna na gazy korozyjne o długości min. 30cm</w:t>
            </w:r>
          </w:p>
          <w:p w:rsidR="000012FC" w:rsidRDefault="000012FC" w:rsidP="000012FC">
            <w:pPr>
              <w:numPr>
                <w:ilvl w:val="0"/>
                <w:numId w:val="40"/>
              </w:numPr>
              <w:spacing w:line="360" w:lineRule="auto"/>
            </w:pPr>
            <w:r>
              <w:lastRenderedPageBreak/>
              <w:t>Ogrzewany przewód transportujący próbkowane gazy o długości min. 250cm</w:t>
            </w:r>
          </w:p>
          <w:p w:rsidR="000012FC" w:rsidRDefault="000012FC" w:rsidP="000012FC">
            <w:pPr>
              <w:numPr>
                <w:ilvl w:val="0"/>
                <w:numId w:val="40"/>
              </w:numPr>
              <w:spacing w:line="360" w:lineRule="auto"/>
            </w:pPr>
            <w:r>
              <w:t>Separator kondensatu</w:t>
            </w:r>
          </w:p>
          <w:p w:rsidR="000012FC" w:rsidRDefault="000012FC" w:rsidP="000012FC">
            <w:pPr>
              <w:numPr>
                <w:ilvl w:val="0"/>
                <w:numId w:val="40"/>
              </w:numPr>
              <w:spacing w:line="360" w:lineRule="auto"/>
            </w:pPr>
            <w:r>
              <w:t>Torba umożliwiająca przenoszenie urządzenia</w:t>
            </w:r>
          </w:p>
          <w:p w:rsidR="000012FC" w:rsidRPr="000012FC" w:rsidRDefault="000012FC" w:rsidP="000012FC">
            <w:pPr>
              <w:spacing w:line="360" w:lineRule="auto"/>
              <w:ind w:left="284"/>
              <w:rPr>
                <w:b/>
              </w:rPr>
            </w:pPr>
            <w:r w:rsidRPr="000012FC">
              <w:rPr>
                <w:b/>
              </w:rPr>
              <w:t>Gwarancja:</w:t>
            </w:r>
          </w:p>
          <w:p w:rsidR="000012FC" w:rsidRPr="000012FC" w:rsidRDefault="000012FC" w:rsidP="000012FC">
            <w:pPr>
              <w:pStyle w:val="Akapitzlist"/>
              <w:numPr>
                <w:ilvl w:val="0"/>
                <w:numId w:val="41"/>
              </w:numPr>
              <w:spacing w:after="0" w:line="360" w:lineRule="auto"/>
              <w:rPr>
                <w:b/>
              </w:rPr>
            </w:pPr>
            <w:r w:rsidRPr="000012FC">
              <w:rPr>
                <w:b/>
              </w:rPr>
              <w:t xml:space="preserve"> min. 12 miesięcy</w:t>
            </w:r>
          </w:p>
          <w:p w:rsidR="000012FC" w:rsidRPr="00D91376" w:rsidRDefault="000012FC" w:rsidP="008C4D39">
            <w:pPr>
              <w:pStyle w:val="Tekstpodstawowy"/>
            </w:pPr>
          </w:p>
          <w:p w:rsidR="00985970" w:rsidRPr="00D91376" w:rsidRDefault="00985970" w:rsidP="008C4D39">
            <w:pPr>
              <w:pStyle w:val="Tekstpodstawowy"/>
            </w:pPr>
            <w:r w:rsidRPr="00985970">
              <w:rPr>
                <w:b/>
              </w:rPr>
              <w:t>Zamawiający dopuszcza składanie ofert równoważnych</w:t>
            </w:r>
          </w:p>
          <w:p w:rsidR="00985970" w:rsidRPr="004C3FCD" w:rsidRDefault="00985970" w:rsidP="008C4D39">
            <w:pPr>
              <w:pStyle w:val="Tekstpodstawowy"/>
            </w:pPr>
            <w:r w:rsidRPr="00985970">
              <w:rPr>
                <w:b/>
              </w:rPr>
              <w:t>Zamawiający nie dopuszcza składania ofert wariantowych</w:t>
            </w:r>
            <w:r>
              <w:t>.</w:t>
            </w:r>
          </w:p>
          <w:p w:rsidR="00985970" w:rsidRPr="004C3FCD" w:rsidRDefault="00985970" w:rsidP="008C4D39">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0012FC" w:rsidRDefault="000012FC" w:rsidP="000012FC">
      <w:pPr>
        <w:pStyle w:val="Nagwek2"/>
      </w:pPr>
      <w:r>
        <w:t>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Default="00F23594" w:rsidP="00A43AEE">
      <w:pPr>
        <w:pStyle w:val="Nagwek2"/>
      </w:pPr>
      <w:r>
        <w:t>Miejsce realizacji:</w:t>
      </w:r>
      <w:r w:rsidR="0040419B">
        <w:t xml:space="preserve"> </w:t>
      </w:r>
      <w:r w:rsidR="00985970" w:rsidRPr="00985970">
        <w:t>Politechnika Częstochowska Wydział   Infr</w:t>
      </w:r>
      <w:r w:rsidR="000012FC">
        <w:rPr>
          <w:lang w:val="pl-PL"/>
        </w:rPr>
        <w:t>as</w:t>
      </w:r>
      <w:r w:rsidR="00985970" w:rsidRPr="00985970">
        <w:t>truktury i Środowiska  Politechniki Częstochowskiej, Al. Armii Krajowej 21,  42-200 Częstochowa</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985970"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930133">
      <w:pPr>
        <w:pStyle w:val="Nagwek1"/>
      </w:pPr>
      <w:bookmarkStart w:id="6" w:name="_Toc258314246"/>
      <w:r w:rsidRPr="007731F5">
        <w:t>Termin wykonania zamówienia</w:t>
      </w:r>
      <w:bookmarkEnd w:id="6"/>
    </w:p>
    <w:p w:rsidR="00392711" w:rsidRPr="00392711" w:rsidRDefault="00EB7871" w:rsidP="004B24D6">
      <w:pPr>
        <w:pStyle w:val="Nagwek2"/>
        <w:numPr>
          <w:ilvl w:val="0"/>
          <w:numId w:val="0"/>
        </w:numPr>
        <w:ind w:left="680"/>
        <w:rPr>
          <w:b/>
        </w:rPr>
      </w:pPr>
      <w:r w:rsidRPr="003209A8">
        <w:t>Zamówienie musi zostać zrealizowane w terminie:</w:t>
      </w:r>
      <w:r w:rsidR="0040419B">
        <w:t xml:space="preserve"> </w:t>
      </w:r>
      <w:r w:rsidR="00985970" w:rsidRPr="00392711">
        <w:rPr>
          <w:b/>
        </w:rPr>
        <w:t>56 dni od daty udzielenia zamówienia</w:t>
      </w:r>
      <w:r w:rsidR="00392711" w:rsidRPr="00392711">
        <w:rPr>
          <w:b/>
          <w:lang w:val="pl-PL"/>
        </w:rPr>
        <w:t xml:space="preserve"> (termin maksymalny)</w:t>
      </w:r>
    </w:p>
    <w:p w:rsidR="00A2369F" w:rsidRPr="00876900" w:rsidRDefault="00A2369F" w:rsidP="00930133">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985970" w:rsidP="009E038F">
      <w:pPr>
        <w:pStyle w:val="Nagwek2"/>
        <w:numPr>
          <w:ilvl w:val="0"/>
          <w:numId w:val="0"/>
        </w:numPr>
        <w:ind w:left="680"/>
      </w:pPr>
      <w:r w:rsidRPr="00CD4B52">
        <w:rPr>
          <w:bCs w:val="0"/>
        </w:rPr>
        <w:t>Zamawiający nie określa warunków udziału w postępowaniu, o których mowa w art. 22 ust. 1b ustawy Pzp.</w:t>
      </w:r>
    </w:p>
    <w:p w:rsidR="008E38E4" w:rsidRPr="008E38E4" w:rsidRDefault="008E38E4" w:rsidP="00930133">
      <w:pPr>
        <w:pStyle w:val="Nagwek1"/>
      </w:pPr>
      <w:r>
        <w:lastRenderedPageBreak/>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B31453" w:rsidP="00892EAD">
      <w:pPr>
        <w:pStyle w:val="Nagwek2"/>
        <w:rPr>
          <w:lang w:val="pl-PL"/>
        </w:rPr>
      </w:pPr>
      <w:r w:rsidRPr="00B31453">
        <w:rPr>
          <w:lang w:val="pl-PL"/>
        </w:rPr>
        <w:t xml:space="preserve">Wykonawca </w:t>
      </w:r>
      <w:r w:rsidRPr="000012FC">
        <w:rPr>
          <w:b/>
          <w:u w:val="single"/>
          <w:lang w:val="pl-PL"/>
        </w:rPr>
        <w:t>wraz z ofertą</w:t>
      </w:r>
      <w:r w:rsidRPr="00B31453">
        <w:rPr>
          <w:lang w:val="pl-PL"/>
        </w:rPr>
        <w:t xml:space="preserve">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985970" w:rsidRPr="009D2316" w:rsidTr="008C4D39">
        <w:tc>
          <w:tcPr>
            <w:tcW w:w="709" w:type="dxa"/>
          </w:tcPr>
          <w:p w:rsidR="00985970" w:rsidRPr="009D2316" w:rsidRDefault="00985970" w:rsidP="008C4D39">
            <w:pPr>
              <w:spacing w:before="60" w:after="120"/>
              <w:jc w:val="both"/>
            </w:pPr>
            <w:r w:rsidRPr="00985970">
              <w:t>1</w:t>
            </w:r>
          </w:p>
        </w:tc>
        <w:tc>
          <w:tcPr>
            <w:tcW w:w="7828" w:type="dxa"/>
          </w:tcPr>
          <w:p w:rsidR="00985970" w:rsidRPr="009D2316" w:rsidRDefault="00985970" w:rsidP="008C4D39">
            <w:pPr>
              <w:spacing w:before="60" w:after="60"/>
              <w:jc w:val="both"/>
            </w:pPr>
            <w:r w:rsidRPr="00985970">
              <w:rPr>
                <w:b/>
              </w:rPr>
              <w:t>Oświadczenie o niepodleganiu wykluczeniu oraz spełnianiu warunków udziału</w:t>
            </w:r>
          </w:p>
          <w:p w:rsidR="00985970" w:rsidRPr="009D2316" w:rsidRDefault="00985970" w:rsidP="008C4D39">
            <w:pPr>
              <w:spacing w:after="40"/>
              <w:jc w:val="both"/>
            </w:pPr>
            <w:r w:rsidRPr="00985970">
              <w:t>Aktualne na dzień składania ofert oświadczenie o niepodleganiu wykluczeniu</w:t>
            </w:r>
          </w:p>
        </w:tc>
      </w:tr>
    </w:tbl>
    <w:p w:rsidR="00012833" w:rsidRDefault="000C63A2" w:rsidP="00BF6DEC">
      <w:pPr>
        <w:pStyle w:val="Nagwek2"/>
      </w:pPr>
      <w:r>
        <w:t xml:space="preserve">Wykonawca, </w:t>
      </w:r>
      <w:r w:rsidRPr="000012FC">
        <w:rPr>
          <w:b/>
          <w:u w:val="single"/>
        </w:rPr>
        <w:t>w terminie 3 dni</w:t>
      </w:r>
      <w:r>
        <w:t xml:space="preserve">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985970" w:rsidRPr="009D2316" w:rsidTr="008C4D39">
        <w:tc>
          <w:tcPr>
            <w:tcW w:w="709" w:type="dxa"/>
          </w:tcPr>
          <w:p w:rsidR="00985970" w:rsidRPr="009D2316" w:rsidRDefault="00985970" w:rsidP="008C4D39">
            <w:pPr>
              <w:spacing w:before="60" w:after="120"/>
              <w:jc w:val="both"/>
            </w:pPr>
            <w:r w:rsidRPr="00985970">
              <w:t>1</w:t>
            </w:r>
          </w:p>
        </w:tc>
        <w:tc>
          <w:tcPr>
            <w:tcW w:w="7796" w:type="dxa"/>
          </w:tcPr>
          <w:p w:rsidR="00985970" w:rsidRPr="009D2316" w:rsidRDefault="00985970" w:rsidP="008C4D39">
            <w:pPr>
              <w:spacing w:before="60" w:after="60"/>
              <w:jc w:val="both"/>
            </w:pPr>
            <w:r w:rsidRPr="00985970">
              <w:rPr>
                <w:b/>
              </w:rPr>
              <w:t>Oświadczenia wykonawcy o przynależności albo braku przynależności do tej samej grupy kapitałowej.</w:t>
            </w:r>
          </w:p>
          <w:p w:rsidR="00985970" w:rsidRPr="009D2316" w:rsidRDefault="00985970" w:rsidP="008C4D39">
            <w:pPr>
              <w:spacing w:after="40"/>
              <w:jc w:val="both"/>
            </w:pPr>
            <w:r w:rsidRPr="00985970">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85970" w:rsidRPr="000012FC" w:rsidRDefault="00985970" w:rsidP="00985970">
      <w:pPr>
        <w:pStyle w:val="Nagwek2"/>
        <w:rPr>
          <w:b/>
        </w:rPr>
      </w:pPr>
      <w:r w:rsidRPr="000012FC">
        <w:rPr>
          <w:b/>
          <w:lang w:val="pl-PL"/>
        </w:rPr>
        <w:lastRenderedPageBreak/>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w:t>
      </w:r>
      <w:r w:rsidRPr="000012FC">
        <w:rPr>
          <w:b/>
          <w:u w:val="single"/>
        </w:rPr>
        <w:t>na wezwanie Zamawiającego</w:t>
      </w:r>
      <w:r w:rsidRPr="00F278EE">
        <w:t xml:space="preserve"> </w:t>
      </w:r>
      <w:r>
        <w:rPr>
          <w:lang w:val="pl-PL"/>
        </w:rPr>
        <w:t xml:space="preserve">na </w:t>
      </w:r>
      <w:r w:rsidRPr="00F278EE">
        <w:t xml:space="preserve">potwierdzenie okoliczności, o których mowa </w:t>
      </w:r>
      <w:r>
        <w:t>w art. 25 ust. 1</w:t>
      </w:r>
      <w:r>
        <w:rPr>
          <w:lang w:val="pl-PL"/>
        </w:rPr>
        <w:t xml:space="preserve"> ustawy Pzp:</w:t>
      </w:r>
    </w:p>
    <w:p w:rsidR="00985970" w:rsidRDefault="00985970" w:rsidP="00985970">
      <w:pPr>
        <w:pStyle w:val="Nagwek2"/>
        <w:numPr>
          <w:ilvl w:val="0"/>
          <w:numId w:val="0"/>
        </w:numPr>
        <w:ind w:left="680"/>
      </w:pPr>
    </w:p>
    <w:p w:rsidR="00985970" w:rsidRPr="00371538" w:rsidRDefault="00985970" w:rsidP="00985970">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85970" w:rsidRPr="00371538" w:rsidTr="008C4D39">
        <w:tc>
          <w:tcPr>
            <w:tcW w:w="720" w:type="dxa"/>
          </w:tcPr>
          <w:p w:rsidR="00985970" w:rsidRPr="00371538" w:rsidRDefault="00985970" w:rsidP="008C4D39">
            <w:pPr>
              <w:spacing w:before="60" w:after="120"/>
              <w:jc w:val="both"/>
            </w:pPr>
            <w:r w:rsidRPr="006672A6">
              <w:rPr>
                <w:b/>
                <w:sz w:val="20"/>
                <w:szCs w:val="20"/>
              </w:rPr>
              <w:t>Lp.</w:t>
            </w:r>
          </w:p>
        </w:tc>
        <w:tc>
          <w:tcPr>
            <w:tcW w:w="7920" w:type="dxa"/>
          </w:tcPr>
          <w:p w:rsidR="00985970" w:rsidRPr="00371538" w:rsidRDefault="00985970" w:rsidP="008C4D39">
            <w:pPr>
              <w:spacing w:before="60" w:after="120"/>
              <w:jc w:val="both"/>
            </w:pPr>
            <w:r w:rsidRPr="006672A6">
              <w:rPr>
                <w:b/>
                <w:sz w:val="20"/>
                <w:szCs w:val="20"/>
              </w:rPr>
              <w:t>Wymagany dokument</w:t>
            </w:r>
          </w:p>
        </w:tc>
      </w:tr>
      <w:tr w:rsidR="00985970" w:rsidRPr="00371538" w:rsidTr="008C4D39">
        <w:tc>
          <w:tcPr>
            <w:tcW w:w="720" w:type="dxa"/>
          </w:tcPr>
          <w:p w:rsidR="00985970" w:rsidRPr="00371538" w:rsidRDefault="00985970" w:rsidP="008C4D39">
            <w:pPr>
              <w:spacing w:before="60" w:after="120"/>
              <w:jc w:val="both"/>
            </w:pPr>
            <w:r w:rsidRPr="00985970">
              <w:t>1</w:t>
            </w:r>
          </w:p>
        </w:tc>
        <w:tc>
          <w:tcPr>
            <w:tcW w:w="7920" w:type="dxa"/>
          </w:tcPr>
          <w:p w:rsidR="00985970" w:rsidRPr="006672A6" w:rsidRDefault="00985970" w:rsidP="008C4D39">
            <w:pPr>
              <w:spacing w:before="60" w:after="120"/>
              <w:jc w:val="both"/>
              <w:rPr>
                <w:b/>
                <w:bCs/>
              </w:rPr>
            </w:pPr>
            <w:r w:rsidRPr="00985970">
              <w:rPr>
                <w:b/>
                <w:bCs/>
              </w:rPr>
              <w:t>Specyfikacja techniczna</w:t>
            </w:r>
          </w:p>
          <w:p w:rsidR="00985970" w:rsidRPr="00371538" w:rsidRDefault="00985970" w:rsidP="008C4D39">
            <w:pPr>
              <w:spacing w:before="60" w:after="120"/>
              <w:jc w:val="both"/>
            </w:pPr>
            <w:r w:rsidRPr="00985970">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 Specyfikacja techniczna winien być podpisana przez upoważnionego przedstawiciela Wykonawcy.</w:t>
            </w:r>
          </w:p>
        </w:tc>
      </w:tr>
    </w:tbl>
    <w:p w:rsidR="00A2369F" w:rsidRPr="00371538" w:rsidRDefault="00A2369F" w:rsidP="0019588C">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r w:rsidR="00A13AE0">
        <w:t>t.j.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w:t>
      </w:r>
      <w:r w:rsidR="00811E8A" w:rsidRPr="00811E8A">
        <w:rPr>
          <w:lang w:val="pl-PL"/>
        </w:rPr>
        <w:lastRenderedPageBreak/>
        <w:t>elektronicznej pod określonymi adresami internetowymi ogólnodostępnych i bezpłatnych baz danych</w:t>
      </w:r>
      <w:r w:rsidR="00811E8A">
        <w:rPr>
          <w:lang w:val="pl-PL"/>
        </w:rPr>
        <w:t>.</w:t>
      </w:r>
    </w:p>
    <w:p w:rsidR="001C5986"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985970" w:rsidP="00EC7D06">
      <w:pPr>
        <w:pStyle w:val="Nagwek2"/>
      </w:pPr>
      <w:bookmarkStart w:id="10"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Pzp oraz dotyczące Podwykonawców, składane są w oryginale. Dokumenty, o których mowa w Rozporządzeniu, inne niż oświadczenia, składane są w oryginale lub kopii poświadczonej za zgodność z oryginałem. </w:t>
      </w:r>
      <w:bookmarkEnd w:id="10"/>
    </w:p>
    <w:p w:rsidR="00EC7D06" w:rsidRDefault="000515DB" w:rsidP="00EC7D06">
      <w:pPr>
        <w:pStyle w:val="Nagwek2"/>
        <w:numPr>
          <w:ilvl w:val="0"/>
          <w:numId w:val="0"/>
        </w:numPr>
        <w:ind w:left="680"/>
      </w:pPr>
      <w:bookmarkStart w:id="11"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
      <w:r w:rsidR="00EC7D06">
        <w:t>.</w:t>
      </w:r>
    </w:p>
    <w:p w:rsidR="00985970" w:rsidRDefault="00985970" w:rsidP="00CE112A">
      <w:pPr>
        <w:ind w:left="680" w:firstLine="24"/>
      </w:pPr>
      <w:bookmarkStart w:id="12" w:name="_Hlk37935553"/>
      <w:r w:rsidRPr="00E44CEF">
        <w:t xml:space="preserve">Poświadczenie za zgodność z oryginałem następuje przez opatrzenie kopii dokumentu </w:t>
      </w:r>
      <w:r w:rsidR="00CE112A">
        <w:t xml:space="preserve">         </w:t>
      </w:r>
      <w:r w:rsidRPr="00E44CEF">
        <w:t xml:space="preserve">własnoręcznym podpisem oraz klauzulą ”za zgodność z oryginałem”. </w:t>
      </w:r>
      <w:bookmarkEnd w:id="12"/>
    </w:p>
    <w:p w:rsidR="00CE112A" w:rsidRDefault="00CE112A" w:rsidP="00CE112A">
      <w:pPr>
        <w:pStyle w:val="Nagwek2"/>
        <w:numPr>
          <w:ilvl w:val="0"/>
          <w:numId w:val="0"/>
        </w:numPr>
        <w:tabs>
          <w:tab w:val="left" w:pos="708"/>
        </w:tabs>
        <w:spacing w:after="0"/>
        <w:ind w:left="680"/>
      </w:pPr>
      <w:r>
        <w:t>Podpisy wykonawcy na oświadczeniach i dokumentach składanych w formie pisemnej muszą być złożone w sposób pozwalający zidentyfikować osobę podpisującą. Zaleca się opatrzenie podpisu pieczątką z imieniem i nazwiskiem osoby podpisującej.</w:t>
      </w:r>
    </w:p>
    <w:p w:rsidR="00CE112A" w:rsidRDefault="00CE112A" w:rsidP="00CE112A">
      <w:pPr>
        <w:pStyle w:val="Nagwek2"/>
        <w:numPr>
          <w:ilvl w:val="0"/>
          <w:numId w:val="0"/>
        </w:numPr>
        <w:tabs>
          <w:tab w:val="left" w:pos="708"/>
        </w:tabs>
        <w:spacing w:before="0" w:after="0"/>
        <w:ind w:left="680"/>
        <w:rPr>
          <w:sz w:val="12"/>
          <w:szCs w:val="12"/>
        </w:rPr>
      </w:pP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A86605">
      <w:pPr>
        <w:pStyle w:val="Nagwek2"/>
        <w:numPr>
          <w:ilvl w:val="0"/>
          <w:numId w:val="0"/>
        </w:numPr>
        <w:ind w:left="993" w:hanging="313"/>
        <w:rPr>
          <w:lang w:val="pl-PL"/>
        </w:rPr>
      </w:pPr>
      <w:bookmarkStart w:id="13"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85970" w:rsidRPr="00264019" w:rsidRDefault="00985970" w:rsidP="00985970">
      <w:pPr>
        <w:pStyle w:val="Nagwek2"/>
        <w:numPr>
          <w:ilvl w:val="0"/>
          <w:numId w:val="0"/>
        </w:numPr>
        <w:ind w:left="680"/>
        <w:rPr>
          <w:lang w:val="pl-PL"/>
        </w:rPr>
      </w:pPr>
    </w:p>
    <w:p w:rsidR="00985970" w:rsidRPr="00AA5FCE" w:rsidRDefault="00985970" w:rsidP="00985970">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85970" w:rsidRDefault="00985970" w:rsidP="00985970">
      <w:pPr>
        <w:pStyle w:val="Nagwek2"/>
        <w:numPr>
          <w:ilvl w:val="0"/>
          <w:numId w:val="0"/>
        </w:numPr>
        <w:ind w:left="680"/>
        <w:rPr>
          <w:color w:val="auto"/>
          <w:lang w:val="pl-PL"/>
        </w:rPr>
      </w:pPr>
      <w:r w:rsidRPr="00AA5FCE">
        <w:rPr>
          <w:color w:val="auto"/>
          <w:lang w:val="pl-PL"/>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 którym mowa w </w:t>
      </w:r>
      <w:r w:rsidR="000012FC">
        <w:rPr>
          <w:lang w:val="pl-PL"/>
        </w:rPr>
        <w:t>pkt. 8.1</w:t>
      </w:r>
      <w:r w:rsidR="000F03BD" w:rsidRPr="00FC0EBD">
        <w:t xml:space="preserve"> SIWZ</w:t>
      </w:r>
      <w:r>
        <w:t>.</w:t>
      </w:r>
    </w:p>
    <w:p w:rsidR="00127036" w:rsidRPr="00127036" w:rsidRDefault="00127036" w:rsidP="00127036">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73111D">
        <w:t xml:space="preserve">”, o którym mowa w </w:t>
      </w:r>
      <w:r w:rsidR="000012FC">
        <w:rPr>
          <w:lang w:val="pl-PL"/>
        </w:rPr>
        <w:t>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0515DB" w:rsidP="000515DB">
      <w:pPr>
        <w:pStyle w:val="Nagwek2"/>
        <w:spacing w:after="0"/>
      </w:pPr>
      <w:r w:rsidRPr="00E44CEF">
        <w:t xml:space="preserve">W niniejszym postępowaniu komunikacja między Zamawiającym a Wykonawcami odbywa się </w:t>
      </w:r>
      <w:r w:rsidR="00985970" w:rsidRPr="00E44CEF">
        <w:t xml:space="preserve"> </w:t>
      </w:r>
      <w:r w:rsidRPr="00E44CEF">
        <w:t xml:space="preserve"> </w:t>
      </w:r>
      <w:r w:rsidR="00985970" w:rsidRPr="00E44CEF">
        <w:rPr>
          <w:lang w:eastAsia="pl-PL"/>
        </w:rPr>
        <w:t xml:space="preserve"> </w:t>
      </w:r>
      <w:r w:rsidRPr="00E44CEF">
        <w:t xml:space="preserve"> </w:t>
      </w:r>
      <w:r w:rsidR="00985970" w:rsidRPr="00E44CEF">
        <w:t>za pośrednictwem operatora pocztowego w rozumieniu ustawy z dnia 23 listopada 2012 r. – Prawo pocztowe (t.j. Dz. U. z 2019r. poz. 1051 ze zm.), osobiście, za pośrednictwem posłańca, faksu lub przy użyciu środków komunikacji elektronicznej w rozumieniu ustawy z dnia 18 lipca 2002 r. o świadczeniu usług drogą elektroniczną (t.j.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14" w:name="_Hlk37864389"/>
      <w:r w:rsidRPr="00E44CEF">
        <w:t>W postępowaniu, wszelkie oświadczenia, wnioski, zawiadomienia oraz informacje przekazywane są</w:t>
      </w:r>
      <w:r w:rsidR="00985970" w:rsidRPr="00985970">
        <w:t xml:space="preserve"> </w:t>
      </w:r>
      <w:r w:rsidR="00985970" w:rsidRPr="00E44CEF">
        <w:t xml:space="preserve">pisemnie albo drogą elektroniczną na adres e-mail </w:t>
      </w:r>
      <w:r w:rsidR="000012FC">
        <w:rPr>
          <w:lang w:val="pl-PL"/>
        </w:rPr>
        <w:t>arakoczy</w:t>
      </w:r>
      <w:r w:rsidR="00985970" w:rsidRPr="00985970">
        <w:rPr>
          <w:color w:val="0000FF"/>
          <w:u w:val="single"/>
        </w:rPr>
        <w:t>@adm.pcz.czest.pl</w:t>
      </w:r>
      <w:r w:rsidRPr="00E44CEF">
        <w:rPr>
          <w:color w:val="2F5496"/>
        </w:rPr>
        <w:t xml:space="preserve"> </w:t>
      </w:r>
      <w:r w:rsidR="00985970" w:rsidRPr="00E44CEF">
        <w:rPr>
          <w:lang w:eastAsia="pl-PL"/>
        </w:rPr>
        <w:t xml:space="preserve">   </w:t>
      </w:r>
      <w:r w:rsidRPr="00E44CEF">
        <w:rPr>
          <w:lang w:eastAsia="pl-PL"/>
        </w:rPr>
        <w:t xml:space="preserve"> </w:t>
      </w:r>
      <w:bookmarkEnd w:id="14"/>
    </w:p>
    <w:p w:rsidR="00E0511E" w:rsidRDefault="009B6086" w:rsidP="00A9512C">
      <w:pPr>
        <w:pStyle w:val="Nagwek2"/>
      </w:pPr>
      <w:bookmarkStart w:id="15"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15"/>
      <w:r w:rsidR="00E0511E" w:rsidRPr="00E0511E">
        <w:t>.</w:t>
      </w:r>
    </w:p>
    <w:p w:rsidR="009B6086" w:rsidRDefault="009B6086" w:rsidP="00A9512C">
      <w:pPr>
        <w:pStyle w:val="Nagwek2"/>
      </w:pPr>
      <w:bookmarkStart w:id="16" w:name="_Hlk37864921"/>
      <w:bookmarkStart w:id="17" w:name="_Hlk37865118"/>
      <w:r w:rsidRPr="00E44CEF">
        <w:t xml:space="preserve">Ofertę, wraz ze stanowiącymi jej integralną część załącznikami, składa się pod rygorem nieważności </w:t>
      </w:r>
      <w:r w:rsidR="00985970" w:rsidRPr="00E44CEF">
        <w:t>w formie pisemnej</w:t>
      </w:r>
      <w:r w:rsidRPr="00E44CEF">
        <w:t xml:space="preserve"> </w:t>
      </w:r>
      <w:r w:rsidR="00985970" w:rsidRPr="00E44CEF">
        <w:rPr>
          <w:lang w:eastAsia="pl-PL"/>
        </w:rPr>
        <w:t xml:space="preserve"> </w:t>
      </w:r>
      <w:r w:rsidRPr="00E44CEF">
        <w:rPr>
          <w:lang w:eastAsia="pl-PL"/>
        </w:rPr>
        <w:t xml:space="preserve"> </w:t>
      </w:r>
      <w:bookmarkEnd w:id="16"/>
      <w:bookmarkEnd w:id="17"/>
    </w:p>
    <w:p w:rsidR="00BC04D7" w:rsidRDefault="009B6086" w:rsidP="009B6086">
      <w:pPr>
        <w:pStyle w:val="Nagwek2"/>
      </w:pPr>
      <w:bookmarkStart w:id="18" w:name="_Hlk37938680"/>
      <w:r w:rsidRPr="00E44CEF">
        <w:t>Postępowanie o udzielenie zamówienia prowadzi się w języku polskim. Dokumenty sporządzone w języku obcym są składane wraz z tłumaczeniem na język polski</w:t>
      </w:r>
      <w:bookmarkEnd w:id="18"/>
      <w:r>
        <w:rPr>
          <w:lang w:val="pl-PL"/>
        </w:rPr>
        <w:t>.</w:t>
      </w:r>
    </w:p>
    <w:p w:rsidR="00DE5056" w:rsidRDefault="008A3895" w:rsidP="00A43AEE">
      <w:pPr>
        <w:pStyle w:val="Nagwek2"/>
      </w:pPr>
      <w:r>
        <w:lastRenderedPageBreak/>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85970" w:rsidRPr="006672A6" w:rsidTr="008C4D39">
        <w:tc>
          <w:tcPr>
            <w:tcW w:w="8636" w:type="dxa"/>
            <w:tcBorders>
              <w:top w:val="nil"/>
              <w:left w:val="nil"/>
              <w:bottom w:val="nil"/>
              <w:right w:val="nil"/>
            </w:tcBorders>
          </w:tcPr>
          <w:p w:rsidR="00985970" w:rsidRPr="006672A6" w:rsidRDefault="00985970" w:rsidP="008C4D39">
            <w:pPr>
              <w:rPr>
                <w:lang w:val="en-US"/>
              </w:rPr>
            </w:pPr>
            <w:bookmarkStart w:id="19" w:name="_Toc258314250"/>
            <w:r w:rsidRPr="00985970">
              <w:rPr>
                <w:lang w:val="en-US"/>
              </w:rPr>
              <w:t>mgr Agnieszka  Bera-Rakoczy</w:t>
            </w:r>
            <w:r w:rsidRPr="006672A6">
              <w:rPr>
                <w:lang w:val="en-US"/>
              </w:rPr>
              <w:t xml:space="preserve"> -  </w:t>
            </w:r>
            <w:r w:rsidRPr="00985970">
              <w:rPr>
                <w:lang w:val="en-US"/>
              </w:rPr>
              <w:t>Specjalista</w:t>
            </w:r>
            <w:r w:rsidRPr="006672A6">
              <w:rPr>
                <w:lang w:val="en-US"/>
              </w:rPr>
              <w:t xml:space="preserve"> tel.: </w:t>
            </w:r>
            <w:r w:rsidRPr="00985970">
              <w:rPr>
                <w:lang w:val="en-US"/>
              </w:rPr>
              <w:t>( 34)  3250415</w:t>
            </w:r>
            <w:r w:rsidRPr="006672A6">
              <w:rPr>
                <w:lang w:val="en-US"/>
              </w:rPr>
              <w:t xml:space="preserve">, e-mail: </w:t>
            </w:r>
            <w:r w:rsidRPr="00985970">
              <w:rPr>
                <w:color w:val="C0C0C0"/>
                <w:u w:val="single"/>
                <w:lang w:val="en-US"/>
              </w:rPr>
              <w:t>arakoczy@adm.pcz.czest.pl</w:t>
            </w:r>
          </w:p>
        </w:tc>
      </w:tr>
    </w:tbl>
    <w:p w:rsidR="009B6086" w:rsidRDefault="009B6086" w:rsidP="00930133">
      <w:pPr>
        <w:pStyle w:val="Nagwek1"/>
        <w:rPr>
          <w:bCs w:val="0"/>
        </w:rPr>
      </w:pPr>
      <w:r w:rsidRPr="00E44CEF">
        <w:rPr>
          <w:bCs w:val="0"/>
        </w:rPr>
        <w:t>OPIS SPO</w:t>
      </w:r>
      <w:bookmarkStart w:id="20" w:name="_Hlk37938975"/>
      <w:r w:rsidRPr="00E44CEF">
        <w:rPr>
          <w:bCs w:val="0"/>
        </w:rPr>
        <w:t>SOBU UDZIELANIA WYJAŚNIEŃ TREŚCI SIWZ</w:t>
      </w:r>
      <w:bookmarkEnd w:id="20"/>
    </w:p>
    <w:p w:rsidR="009B6086" w:rsidRPr="00E44CEF" w:rsidRDefault="009B6086" w:rsidP="009B6086">
      <w:pPr>
        <w:pStyle w:val="Nagwek2"/>
      </w:pPr>
      <w:bookmarkStart w:id="21" w:name="_Hlk37783375"/>
      <w:bookmarkStart w:id="22" w:name="_Hlk37938993"/>
      <w:r w:rsidRPr="00E44CEF">
        <w:t xml:space="preserve">Wykonawca może zwrócić się do Zamawiającego z wnioskiem o wyjaśnienie treści SIWZ, przekazanym </w:t>
      </w:r>
      <w:r w:rsidR="00985970" w:rsidRPr="00E44CEF">
        <w:t xml:space="preserve">pisemnie albo drogą elektroniczną na adres e-mail </w:t>
      </w:r>
      <w:r w:rsidR="000012FC">
        <w:rPr>
          <w:lang w:val="pl-PL"/>
        </w:rPr>
        <w:t>arakoczy</w:t>
      </w:r>
      <w:r w:rsidR="00985970" w:rsidRPr="00985970">
        <w:rPr>
          <w:color w:val="0000FF"/>
          <w:u w:val="single"/>
        </w:rPr>
        <w:t>@adm.pcz.czest.pl</w:t>
      </w:r>
      <w:r w:rsidRPr="00E44CEF">
        <w:t xml:space="preserve"> </w:t>
      </w:r>
      <w:r w:rsidR="00985970" w:rsidRPr="00E44CEF">
        <w:rPr>
          <w:lang w:eastAsia="pl-PL"/>
        </w:rPr>
        <w:t xml:space="preserve"> </w:t>
      </w:r>
      <w:r w:rsidRPr="00E44CEF">
        <w:rPr>
          <w:lang w:eastAsia="pl-PL"/>
        </w:rPr>
        <w:t xml:space="preserve"> </w:t>
      </w:r>
      <w:bookmarkStart w:id="23" w:name="_Hlk37783409"/>
      <w:bookmarkEnd w:id="21"/>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3"/>
    </w:p>
    <w:p w:rsidR="009B6086" w:rsidRPr="000012FC" w:rsidRDefault="009B6086" w:rsidP="009B6086">
      <w:pPr>
        <w:pStyle w:val="Nagwek2"/>
        <w:rPr>
          <w:color w:val="auto"/>
        </w:rPr>
      </w:pPr>
      <w:r w:rsidRPr="00E44CEF">
        <w:t xml:space="preserve">Jeżeli wniosek o wyjaśnienie treści SIWZ wpłynął po upływie terminu składania wniosku, o którym mowa w pkt </w:t>
      </w:r>
      <w:r w:rsidRPr="000012FC">
        <w:rPr>
          <w:color w:val="auto"/>
        </w:rPr>
        <w:t>1</w:t>
      </w:r>
      <w:r w:rsidR="000012FC">
        <w:rPr>
          <w:color w:val="auto"/>
          <w:lang w:val="pl-PL"/>
        </w:rPr>
        <w:t>2</w:t>
      </w:r>
      <w:r w:rsidRPr="000012FC">
        <w:rPr>
          <w:color w:val="auto"/>
        </w:rPr>
        <w:t>.2, lub dotyczy udzielonych wyjaśnień, Zamawiający może udzielić wyjaśnień albo pozostawić wniosek bez rozpoznania.</w:t>
      </w:r>
    </w:p>
    <w:p w:rsidR="009B6086" w:rsidRPr="000012FC" w:rsidRDefault="009B6086" w:rsidP="009B6086">
      <w:pPr>
        <w:pStyle w:val="Nagwek2"/>
        <w:rPr>
          <w:color w:val="auto"/>
        </w:rPr>
      </w:pPr>
      <w:r w:rsidRPr="000012FC">
        <w:rPr>
          <w:color w:val="auto"/>
        </w:rPr>
        <w:t>Przedłużenie terminu składania ofert nie wpływa na bieg terminu składania wniosku, o którym mowa w pkt 1</w:t>
      </w:r>
      <w:r w:rsidR="000012FC">
        <w:rPr>
          <w:color w:val="auto"/>
          <w:lang w:val="pl-PL"/>
        </w:rPr>
        <w:t>2</w:t>
      </w:r>
      <w:r w:rsidRPr="000012FC">
        <w:rPr>
          <w:color w:val="auto"/>
        </w:rPr>
        <w:t>.2.</w:t>
      </w:r>
    </w:p>
    <w:p w:rsidR="009B6086" w:rsidRPr="00E44CEF" w:rsidRDefault="009B6086" w:rsidP="009B6086">
      <w:pPr>
        <w:pStyle w:val="Nagwek2"/>
      </w:pPr>
      <w:r w:rsidRPr="000012FC">
        <w:rPr>
          <w:color w:val="auto"/>
        </w:rPr>
        <w:t>Treść zapytań wraz z wyjaśnieniami Zamawiający</w:t>
      </w:r>
      <w:r w:rsidRPr="00E44CEF">
        <w:t xml:space="preserve">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22"/>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9"/>
    </w:p>
    <w:p w:rsidR="00985970" w:rsidRPr="003209A8" w:rsidRDefault="00985970" w:rsidP="00985970">
      <w:pPr>
        <w:pStyle w:val="Nagwek2"/>
        <w:rPr>
          <w:b/>
        </w:rPr>
      </w:pPr>
      <w:r w:rsidRPr="003209A8">
        <w:t xml:space="preserve">Oferta musi być zabezpieczona wadium w wysokości: </w:t>
      </w:r>
      <w:r w:rsidRPr="00985970">
        <w:rPr>
          <w:b/>
        </w:rPr>
        <w:t>1 500.00</w:t>
      </w:r>
      <w:r w:rsidRPr="00D91376">
        <w:rPr>
          <w:b/>
        </w:rPr>
        <w:t> PLN</w:t>
      </w:r>
      <w:r w:rsidRPr="00D91376">
        <w:t xml:space="preserve"> (słownie: </w:t>
      </w:r>
      <w:r w:rsidRPr="00985970">
        <w:t xml:space="preserve"> jeden tysiąc pięćset  00/100</w:t>
      </w:r>
      <w:r w:rsidRPr="00D91376">
        <w:t> PLN)</w:t>
      </w:r>
      <w:r>
        <w:t>.</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t>Wadium należy wnieść do up</w:t>
      </w:r>
      <w:r>
        <w:rPr>
          <w:bCs/>
          <w:iCs/>
          <w:color w:val="000000"/>
          <w:lang w:eastAsia="x-none"/>
        </w:rPr>
        <w:t>ływu terminu składania ofert.</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t>Wadium może być wnoszone w jednej lub kilku następujących formach:</w:t>
      </w:r>
    </w:p>
    <w:p w:rsidR="000012FC" w:rsidRDefault="000012FC" w:rsidP="000012FC">
      <w:pPr>
        <w:numPr>
          <w:ilvl w:val="0"/>
          <w:numId w:val="43"/>
        </w:numPr>
        <w:spacing w:before="120" w:after="60"/>
        <w:ind w:left="1134"/>
        <w:jc w:val="both"/>
        <w:outlineLvl w:val="1"/>
        <w:rPr>
          <w:bCs/>
          <w:iCs/>
          <w:color w:val="000000"/>
          <w:lang w:val="x-none" w:eastAsia="x-none"/>
        </w:rPr>
      </w:pPr>
      <w:r>
        <w:rPr>
          <w:bCs/>
          <w:iCs/>
          <w:color w:val="000000"/>
          <w:lang w:val="x-none" w:eastAsia="x-none"/>
        </w:rPr>
        <w:t>pieniądzu: przelewem na rachunek bankowy Zamawiającego: Bank BGŻ BNP Paribas S. A. 76 1750 1211 0000 0000 2007 5759;</w:t>
      </w:r>
    </w:p>
    <w:p w:rsidR="000012FC" w:rsidRDefault="000012FC" w:rsidP="000012FC">
      <w:pPr>
        <w:numPr>
          <w:ilvl w:val="0"/>
          <w:numId w:val="43"/>
        </w:numPr>
        <w:spacing w:before="120" w:after="60"/>
        <w:ind w:left="1134"/>
        <w:jc w:val="both"/>
        <w:outlineLvl w:val="1"/>
        <w:rPr>
          <w:bCs/>
          <w:iCs/>
          <w:color w:val="000000"/>
          <w:lang w:val="x-none" w:eastAsia="x-none"/>
        </w:rPr>
      </w:pPr>
      <w:r>
        <w:rPr>
          <w:bCs/>
          <w:iCs/>
          <w:color w:val="000000"/>
          <w:lang w:val="x-none" w:eastAsia="x-none"/>
        </w:rPr>
        <w:t>poręczeniach bankowych lub poręczeniach spółdzielczej kasy oszczędnościowo-kredytowej, z tym że poręczenie kasy jest zawsze poręczeniem pieniężnym;</w:t>
      </w:r>
    </w:p>
    <w:p w:rsidR="000012FC" w:rsidRDefault="000012FC" w:rsidP="000012FC">
      <w:pPr>
        <w:numPr>
          <w:ilvl w:val="0"/>
          <w:numId w:val="43"/>
        </w:numPr>
        <w:spacing w:before="120" w:after="60"/>
        <w:ind w:left="1134"/>
        <w:jc w:val="both"/>
        <w:outlineLvl w:val="1"/>
        <w:rPr>
          <w:bCs/>
          <w:iCs/>
          <w:color w:val="000000"/>
          <w:lang w:val="x-none" w:eastAsia="x-none"/>
        </w:rPr>
      </w:pPr>
      <w:r>
        <w:rPr>
          <w:bCs/>
          <w:iCs/>
          <w:color w:val="000000"/>
          <w:lang w:val="x-none" w:eastAsia="x-none"/>
        </w:rPr>
        <w:t>gwarancjach bankowych;</w:t>
      </w:r>
    </w:p>
    <w:p w:rsidR="000012FC" w:rsidRDefault="000012FC" w:rsidP="000012FC">
      <w:pPr>
        <w:numPr>
          <w:ilvl w:val="0"/>
          <w:numId w:val="43"/>
        </w:numPr>
        <w:spacing w:before="120" w:after="60"/>
        <w:ind w:left="1134"/>
        <w:jc w:val="both"/>
        <w:outlineLvl w:val="1"/>
        <w:rPr>
          <w:bCs/>
          <w:iCs/>
          <w:color w:val="000000"/>
          <w:lang w:val="x-none" w:eastAsia="x-none"/>
        </w:rPr>
      </w:pPr>
      <w:r>
        <w:rPr>
          <w:bCs/>
          <w:iCs/>
          <w:color w:val="000000"/>
          <w:lang w:val="x-none" w:eastAsia="x-none"/>
        </w:rPr>
        <w:t>gwarancjach ubezpieczeniowych;</w:t>
      </w:r>
    </w:p>
    <w:p w:rsidR="000012FC" w:rsidRDefault="000012FC" w:rsidP="000012FC">
      <w:pPr>
        <w:numPr>
          <w:ilvl w:val="0"/>
          <w:numId w:val="43"/>
        </w:numPr>
        <w:spacing w:before="120" w:after="60"/>
        <w:ind w:left="1134"/>
        <w:jc w:val="both"/>
        <w:outlineLvl w:val="1"/>
        <w:rPr>
          <w:bCs/>
          <w:iCs/>
          <w:color w:val="000000"/>
          <w:lang w:val="x-none" w:eastAsia="x-none"/>
        </w:rPr>
      </w:pPr>
      <w:r>
        <w:rPr>
          <w:bCs/>
          <w:iCs/>
          <w:color w:val="000000"/>
          <w:lang w:val="x-none" w:eastAsia="x-none"/>
        </w:rPr>
        <w:t>por</w:t>
      </w:r>
      <w:r>
        <w:rPr>
          <w:rFonts w:ascii="TimesNewRoman" w:eastAsia="TimesNewRoman" w:cs="TimesNewRoman"/>
          <w:bCs/>
          <w:iCs/>
          <w:color w:val="000000"/>
          <w:lang w:val="x-none" w:eastAsia="x-none"/>
        </w:rPr>
        <w:t>ę</w:t>
      </w:r>
      <w:r>
        <w:rPr>
          <w:bCs/>
          <w:iCs/>
          <w:color w:val="000000"/>
          <w:lang w:val="x-none" w:eastAsia="x-none"/>
        </w:rPr>
        <w:t>czeniach udzielanych przez podmioty, o których mowa w art. 6b ust. 5 pkt 2 ustawy z dnia 9 listopada 2000 r. o utworzeniu Polskiej Agencji Rozwoju Przedsi</w:t>
      </w:r>
      <w:r>
        <w:rPr>
          <w:rFonts w:ascii="TimesNewRoman" w:eastAsia="TimesNewRoman" w:cs="TimesNewRoman"/>
          <w:bCs/>
          <w:iCs/>
          <w:color w:val="000000"/>
          <w:lang w:val="x-none" w:eastAsia="x-none"/>
        </w:rPr>
        <w:t>ę</w:t>
      </w:r>
      <w:r>
        <w:rPr>
          <w:bCs/>
          <w:iCs/>
          <w:color w:val="000000"/>
          <w:lang w:val="x-none" w:eastAsia="x-none"/>
        </w:rPr>
        <w:t>biorczo</w:t>
      </w:r>
      <w:r>
        <w:rPr>
          <w:rFonts w:ascii="TimesNewRoman" w:eastAsia="TimesNewRoman" w:cs="TimesNewRoman"/>
          <w:bCs/>
          <w:iCs/>
          <w:color w:val="000000"/>
          <w:lang w:val="x-none" w:eastAsia="x-none"/>
        </w:rPr>
        <w:t>ś</w:t>
      </w:r>
      <w:r>
        <w:rPr>
          <w:bCs/>
          <w:iCs/>
          <w:color w:val="000000"/>
          <w:lang w:val="x-none" w:eastAsia="x-none"/>
        </w:rPr>
        <w:t>ci (t.j. Dz. U. z 2019r. poz. 310).</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t>Wykonawca zobowiązany jest wnieść wadium na okres związania ofertą.</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t>Za termin wniesienia wadium w pieniądzu zostanie przyjęty termin uznania rachunku Zamawiającego.</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lastRenderedPageBreak/>
        <w:t>W przypadku wnoszenia wadium w formie innej niż w pieniądzu wymagane jest załączenie do oferty oryginalnego dokumentu gwarancji/poręczenia. Beneficjentem wadium wnoszonego w formie innej niż w pieniądzu jest Zamawiający</w:t>
      </w:r>
      <w:r>
        <w:rPr>
          <w:bCs/>
          <w:iCs/>
          <w:color w:val="000000"/>
          <w:lang w:eastAsia="x-none"/>
        </w:rPr>
        <w:t>.</w:t>
      </w:r>
    </w:p>
    <w:p w:rsidR="000012FC" w:rsidRDefault="000012FC" w:rsidP="000012FC">
      <w:pPr>
        <w:numPr>
          <w:ilvl w:val="1"/>
          <w:numId w:val="21"/>
        </w:numPr>
        <w:spacing w:before="120" w:after="60"/>
        <w:jc w:val="both"/>
        <w:outlineLvl w:val="1"/>
        <w:rPr>
          <w:bCs/>
          <w:iCs/>
          <w:color w:val="000000"/>
          <w:lang w:eastAsia="x-none"/>
        </w:rPr>
      </w:pPr>
      <w:r>
        <w:rPr>
          <w:bCs/>
          <w:iCs/>
          <w:color w:val="000000"/>
          <w:lang w:eastAsia="x-none"/>
        </w:rPr>
        <w:t>Wadium wnoszone w formie innej niż pieniężna musi:</w:t>
      </w:r>
    </w:p>
    <w:p w:rsidR="000012FC" w:rsidRDefault="000012FC" w:rsidP="000012FC">
      <w:pPr>
        <w:numPr>
          <w:ilvl w:val="0"/>
          <w:numId w:val="44"/>
        </w:numPr>
        <w:spacing w:before="120" w:after="60"/>
        <w:jc w:val="both"/>
        <w:outlineLvl w:val="1"/>
        <w:rPr>
          <w:bCs/>
          <w:iCs/>
          <w:color w:val="000000"/>
          <w:lang w:eastAsia="x-none"/>
        </w:rPr>
      </w:pPr>
      <w:r>
        <w:rPr>
          <w:bCs/>
          <w:iCs/>
          <w:color w:val="000000"/>
          <w:lang w:eastAsia="x-none"/>
        </w:rPr>
        <w:t>być czynnością jednostronnie zobowiązującą;</w:t>
      </w:r>
    </w:p>
    <w:p w:rsidR="000012FC" w:rsidRDefault="000012FC" w:rsidP="000012FC">
      <w:pPr>
        <w:numPr>
          <w:ilvl w:val="0"/>
          <w:numId w:val="44"/>
        </w:numPr>
        <w:spacing w:before="120" w:after="60"/>
        <w:jc w:val="both"/>
        <w:outlineLvl w:val="1"/>
        <w:rPr>
          <w:bCs/>
          <w:iCs/>
          <w:color w:val="000000"/>
          <w:lang w:eastAsia="x-none"/>
        </w:rPr>
      </w:pPr>
      <w:r>
        <w:rPr>
          <w:bCs/>
          <w:iCs/>
          <w:color w:val="000000"/>
          <w:lang w:eastAsia="x-none"/>
        </w:rPr>
        <w:t>mieć taką samą płynność jak wadium wniesione w pieniądzu;</w:t>
      </w:r>
    </w:p>
    <w:p w:rsidR="000012FC" w:rsidRDefault="000012FC" w:rsidP="000012FC">
      <w:pPr>
        <w:numPr>
          <w:ilvl w:val="0"/>
          <w:numId w:val="44"/>
        </w:numPr>
        <w:spacing w:before="120" w:after="60"/>
        <w:jc w:val="both"/>
        <w:outlineLvl w:val="1"/>
        <w:rPr>
          <w:bCs/>
          <w:iCs/>
          <w:color w:val="000000"/>
          <w:lang w:eastAsia="x-none"/>
        </w:rPr>
      </w:pPr>
      <w:r>
        <w:rPr>
          <w:bCs/>
          <w:iCs/>
          <w:color w:val="000000"/>
          <w:lang w:eastAsia="x-none"/>
        </w:rPr>
        <w:t>obejmować odpowiedzialność za wszystkie przypadki powodujące utratę wadium przez Wykonawcę, określone w art. 46 ust. 4a i 5 ustawy Pzp;</w:t>
      </w:r>
    </w:p>
    <w:p w:rsidR="000012FC" w:rsidRDefault="000012FC" w:rsidP="000012FC">
      <w:pPr>
        <w:numPr>
          <w:ilvl w:val="0"/>
          <w:numId w:val="44"/>
        </w:numPr>
        <w:spacing w:before="120" w:after="60"/>
        <w:jc w:val="both"/>
        <w:outlineLvl w:val="1"/>
        <w:rPr>
          <w:bCs/>
          <w:iCs/>
          <w:color w:val="000000"/>
          <w:lang w:eastAsia="x-none"/>
        </w:rPr>
      </w:pPr>
      <w:r>
        <w:rPr>
          <w:bCs/>
          <w:iCs/>
          <w:color w:val="000000"/>
          <w:lang w:eastAsia="x-none"/>
        </w:rPr>
        <w:t>zawierać w swojej treści nieodwołalne i bezwarunkowe zobowiązanie wystawcy dokumentu do zapłaty kwoty wadium na rzecz Zamawiającego.</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t xml:space="preserve">Zamawiający zwróci wadium na zasadach określonych w art. 46 </w:t>
      </w:r>
      <w:r>
        <w:rPr>
          <w:bCs/>
          <w:iCs/>
          <w:color w:val="000000"/>
          <w:lang w:eastAsia="x-none"/>
        </w:rPr>
        <w:t>ust.1, 1a, 2 i 4</w:t>
      </w:r>
      <w:r>
        <w:rPr>
          <w:bCs/>
          <w:iCs/>
          <w:color w:val="000000"/>
          <w:lang w:val="x-none" w:eastAsia="x-none"/>
        </w:rPr>
        <w:t xml:space="preserve"> ustawy Pzp. </w:t>
      </w:r>
    </w:p>
    <w:p w:rsidR="000012FC" w:rsidRDefault="000012FC" w:rsidP="000012FC">
      <w:pPr>
        <w:numPr>
          <w:ilvl w:val="1"/>
          <w:numId w:val="21"/>
        </w:numPr>
        <w:spacing w:before="120" w:after="60"/>
        <w:jc w:val="both"/>
        <w:outlineLvl w:val="1"/>
        <w:rPr>
          <w:bCs/>
          <w:iCs/>
          <w:color w:val="000000"/>
          <w:lang w:val="x-none" w:eastAsia="x-none"/>
        </w:rPr>
      </w:pPr>
      <w:r>
        <w:rPr>
          <w:bCs/>
          <w:iCs/>
          <w:color w:val="000000"/>
          <w:lang w:val="x-none" w:eastAsia="x-none"/>
        </w:rPr>
        <w:t xml:space="preserve">Zamawiający </w:t>
      </w:r>
      <w:r>
        <w:rPr>
          <w:bCs/>
          <w:iCs/>
          <w:color w:val="000000"/>
          <w:lang w:eastAsia="x-none"/>
        </w:rPr>
        <w:t>za</w:t>
      </w:r>
      <w:r>
        <w:rPr>
          <w:bCs/>
          <w:iCs/>
          <w:color w:val="000000"/>
          <w:lang w:val="x-none" w:eastAsia="x-none"/>
        </w:rPr>
        <w:t xml:space="preserve">żąda ponownego wniesienia wadium przez Wykonawcę, któremu zwrócono wadium na podstawie art. 46 ust. 1 ustawy </w:t>
      </w:r>
      <w:r>
        <w:rPr>
          <w:bCs/>
          <w:iCs/>
          <w:color w:val="000000"/>
          <w:lang w:eastAsia="x-none"/>
        </w:rPr>
        <w:t>Pzp</w:t>
      </w:r>
      <w:r>
        <w:rPr>
          <w:bCs/>
          <w:iCs/>
          <w:color w:val="000000"/>
          <w:lang w:val="x-none" w:eastAsia="x-none"/>
        </w:rPr>
        <w:t>, jeżeli w wyniku rozstrzygnięcia odwołania jego oferta została wybrana jako najkorzystniejsza. Wykonawca wnosi wadium w terminie określonym przez Zamawiającego.</w:t>
      </w:r>
    </w:p>
    <w:p w:rsidR="000012FC" w:rsidRPr="007F22F4" w:rsidRDefault="000012FC" w:rsidP="000012FC">
      <w:pPr>
        <w:pStyle w:val="Nagwek2"/>
        <w:numPr>
          <w:ilvl w:val="1"/>
          <w:numId w:val="21"/>
        </w:numPr>
        <w:rPr>
          <w:b/>
        </w:rPr>
      </w:pPr>
      <w:r>
        <w:t>Zamawiający zatrzyma wadium wraz z odsetkami,</w:t>
      </w:r>
      <w:r>
        <w:rPr>
          <w:lang w:val="pl-PL"/>
        </w:rPr>
        <w:t xml:space="preserve"> w przypadkach określonych w art. 46 ust. 4a i 5 ustawy Pzp.</w:t>
      </w:r>
    </w:p>
    <w:p w:rsidR="007F22F4" w:rsidRDefault="007F22F4" w:rsidP="000012FC">
      <w:pPr>
        <w:pStyle w:val="Nagwek2"/>
        <w:numPr>
          <w:ilvl w:val="1"/>
          <w:numId w:val="21"/>
        </w:numPr>
        <w:rPr>
          <w:b/>
        </w:rPr>
      </w:pPr>
      <w:r>
        <w:t>Nie wniesienie wadium w wymaganym terminie (także na przedłużony okres związania ofertą), w wymaganej wysokości, dopuszczonej formie lub wniesione w sposób nieprawidłowy skutkuje odrzuceniem oferty zgodnie z art. 89 ust. 1 pkt 7b ustawy Pzp</w:t>
      </w:r>
      <w:bookmarkStart w:id="24" w:name="_GoBack"/>
      <w:bookmarkEnd w:id="24"/>
    </w:p>
    <w:p w:rsidR="000012FC" w:rsidRDefault="000012FC" w:rsidP="000012FC">
      <w:pPr>
        <w:pStyle w:val="Nagwek2"/>
        <w:numPr>
          <w:ilvl w:val="0"/>
          <w:numId w:val="0"/>
        </w:numPr>
        <w:tabs>
          <w:tab w:val="left" w:pos="708"/>
        </w:tabs>
        <w:ind w:left="680"/>
      </w:pPr>
    </w:p>
    <w:p w:rsidR="008D48A7" w:rsidRPr="00876900" w:rsidRDefault="008D48A7" w:rsidP="00930133">
      <w:pPr>
        <w:pStyle w:val="Nagwek1"/>
      </w:pPr>
      <w:bookmarkStart w:id="2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5"/>
    </w:p>
    <w:p w:rsidR="008D48A7" w:rsidRPr="000012FC" w:rsidRDefault="008D48A7" w:rsidP="00A43AEE">
      <w:pPr>
        <w:pStyle w:val="Nagwek2"/>
        <w:rPr>
          <w:b/>
        </w:rPr>
      </w:pPr>
      <w:r w:rsidRPr="000012FC">
        <w:rPr>
          <w:b/>
        </w:rPr>
        <w:t xml:space="preserve">Wykonawca pozostaje związany ofertą przez okres </w:t>
      </w:r>
      <w:r w:rsidR="00985970" w:rsidRPr="000012FC">
        <w:rPr>
          <w:b/>
        </w:rPr>
        <w:t>30</w:t>
      </w:r>
      <w:r w:rsidRPr="000012FC">
        <w:rPr>
          <w:b/>
        </w:rP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85970" w:rsidRPr="00876900" w:rsidRDefault="008D48A7" w:rsidP="0098597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85970">
        <w:t>Odmowa wyrażenia zgody nie powoduje utraty wadium.</w:t>
      </w:r>
      <w:r w:rsidR="00985970" w:rsidRPr="00876900">
        <w:t xml:space="preserve"> </w:t>
      </w:r>
    </w:p>
    <w:p w:rsidR="00985970" w:rsidRPr="00BF579F" w:rsidRDefault="00985970" w:rsidP="00985970">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26" w:name="_Toc258314252"/>
      <w:r w:rsidRPr="008872CB">
        <w:t>Opis sposobu przygotowywania ofert</w:t>
      </w:r>
      <w:bookmarkEnd w:id="26"/>
    </w:p>
    <w:p w:rsidR="008D48A7" w:rsidRDefault="008D48A7" w:rsidP="00A43AEE">
      <w:pPr>
        <w:pStyle w:val="Nagwek2"/>
      </w:pPr>
      <w:r>
        <w:lastRenderedPageBreak/>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27" w:name="_Hlk37939113"/>
      <w:r w:rsidRPr="00E44CEF">
        <w:t xml:space="preserve">Oferta </w:t>
      </w:r>
      <w:bookmarkStart w:id="28" w:name="_Hlk37846417"/>
      <w:r w:rsidRPr="00E44CEF">
        <w:t>wraz ze stanowiącymi jej integralną część załącznikami</w:t>
      </w:r>
      <w:bookmarkEnd w:id="28"/>
      <w:r w:rsidRPr="00E44CEF">
        <w:t xml:space="preserve"> musi być sporządzona przez Wykonawcę ściśle według postanowień niniejszej SIWZ</w:t>
      </w:r>
      <w:bookmarkEnd w:id="27"/>
      <w:r>
        <w:rPr>
          <w:lang w:val="pl-PL"/>
        </w:rPr>
        <w:t>.</w:t>
      </w:r>
    </w:p>
    <w:p w:rsidR="009B6086" w:rsidRPr="009B6086" w:rsidRDefault="009B6086" w:rsidP="00A43AEE">
      <w:pPr>
        <w:pStyle w:val="Nagwek2"/>
      </w:pPr>
      <w:bookmarkStart w:id="29" w:name="_Hlk37866068"/>
      <w:r w:rsidRPr="00E44CEF">
        <w:t>Oferta oraz pozostałe oświadczenia i dokumenty, dla których Zamawiający określił wzory w formie formularzy, powinny być sporządzone zgodnie z tymi wzorami</w:t>
      </w:r>
      <w:bookmarkEnd w:id="29"/>
      <w:r>
        <w:rPr>
          <w:lang w:val="pl-PL"/>
        </w:rPr>
        <w:t>.</w:t>
      </w:r>
    </w:p>
    <w:p w:rsidR="009B6086" w:rsidRPr="009B6086" w:rsidRDefault="009B6086" w:rsidP="00A43AEE">
      <w:pPr>
        <w:pStyle w:val="Nagwek2"/>
      </w:pPr>
      <w:bookmarkStart w:id="30" w:name="_Hlk37866086"/>
      <w:r w:rsidRPr="00E44CEF">
        <w:t>Oferta wraz z załącznikami musi być czytelna i sporządzona w języku polskim</w:t>
      </w:r>
      <w:bookmarkEnd w:id="30"/>
      <w:r>
        <w:rPr>
          <w:lang w:val="pl-PL"/>
        </w:rPr>
        <w:t>.</w:t>
      </w:r>
    </w:p>
    <w:p w:rsidR="009B6086" w:rsidRDefault="009B6086" w:rsidP="00A43AEE">
      <w:pPr>
        <w:pStyle w:val="Nagwek2"/>
      </w:pPr>
      <w:bookmarkStart w:id="31" w:name="_Hlk37839542"/>
      <w:bookmarkStart w:id="32" w:name="_Hlk37866106"/>
      <w:r w:rsidRPr="00E44CEF">
        <w:t xml:space="preserve">Ofertę, wraz ze stanowiącymi jej integralną część załącznikami, składa się pod rygorem nieważności w formie </w:t>
      </w:r>
      <w:r w:rsidR="00985970" w:rsidRPr="00E44CEF">
        <w:t xml:space="preserve">pisemnej  </w:t>
      </w:r>
      <w:r w:rsidRPr="00E44CEF">
        <w:t xml:space="preserve"> </w:t>
      </w:r>
      <w:r w:rsidR="00985970" w:rsidRPr="00E44CEF">
        <w:rPr>
          <w:lang w:eastAsia="pl-PL"/>
        </w:rPr>
        <w:t xml:space="preserve"> </w:t>
      </w:r>
      <w:r w:rsidRPr="00E44CEF">
        <w:rPr>
          <w:lang w:eastAsia="pl-PL"/>
        </w:rPr>
        <w:t xml:space="preserve"> </w:t>
      </w:r>
      <w:bookmarkEnd w:id="31"/>
      <w:bookmarkEnd w:id="32"/>
    </w:p>
    <w:p w:rsidR="009B6086" w:rsidRPr="009B6086" w:rsidRDefault="009B6086" w:rsidP="00A43AEE">
      <w:pPr>
        <w:pStyle w:val="Nagwek2"/>
      </w:pPr>
      <w:bookmarkStart w:id="33" w:name="_Hlk37939197"/>
      <w:r w:rsidRPr="00E44CEF">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3"/>
      <w:r>
        <w:rPr>
          <w:lang w:val="pl-PL"/>
        </w:rPr>
        <w:t>:</w:t>
      </w:r>
    </w:p>
    <w:p w:rsidR="009B6086" w:rsidRPr="009B6086" w:rsidRDefault="009B6086" w:rsidP="009B6086">
      <w:pPr>
        <w:pStyle w:val="Nagwek2"/>
        <w:numPr>
          <w:ilvl w:val="0"/>
          <w:numId w:val="33"/>
        </w:numPr>
      </w:pPr>
      <w:r w:rsidRPr="00E44CEF">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4"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35" w:name="_Hlk38143710"/>
      <w:r w:rsidRPr="00E44CEF">
        <w:t>Wykonawca nie może zastrzec informacji, o których mowa w art. 86 ust. 4 ustawy Pzp</w:t>
      </w:r>
      <w:bookmarkEnd w:id="34"/>
      <w:bookmarkEnd w:id="35"/>
      <w:r w:rsidRPr="00E44CEF">
        <w:t>.</w:t>
      </w:r>
    </w:p>
    <w:p w:rsidR="00985970" w:rsidRPr="009B6086" w:rsidRDefault="00985970" w:rsidP="00985970">
      <w:pPr>
        <w:pStyle w:val="Nagwek2"/>
        <w:numPr>
          <w:ilvl w:val="0"/>
          <w:numId w:val="0"/>
        </w:numPr>
        <w:spacing w:before="0" w:after="0"/>
        <w:ind w:left="680"/>
        <w:rPr>
          <w:sz w:val="12"/>
          <w:szCs w:val="12"/>
        </w:rPr>
      </w:pPr>
    </w:p>
    <w:p w:rsidR="00985970" w:rsidRDefault="00985970" w:rsidP="00985970">
      <w:pPr>
        <w:pStyle w:val="Nagwek2"/>
        <w:spacing w:before="0"/>
      </w:pPr>
      <w:bookmarkStart w:id="36" w:name="_Hlk37939325"/>
      <w:r w:rsidRPr="00E44CEF">
        <w:t>Opis sposobu przygotowania oferty składanej w formie pisemnej</w:t>
      </w:r>
      <w:bookmarkEnd w:id="36"/>
      <w:r w:rsidRPr="00E44CEF">
        <w:t>:</w:t>
      </w:r>
    </w:p>
    <w:p w:rsidR="00985970" w:rsidRDefault="00985970" w:rsidP="00985970">
      <w:pPr>
        <w:pStyle w:val="Nagwek2"/>
        <w:numPr>
          <w:ilvl w:val="0"/>
          <w:numId w:val="34"/>
        </w:numPr>
        <w:spacing w:before="0"/>
        <w:rPr>
          <w:lang w:val="pl-PL"/>
        </w:rPr>
      </w:pPr>
      <w:bookmarkStart w:id="37" w:name="_Hlk37866254"/>
      <w:r w:rsidRPr="00E44CEF">
        <w:t xml:space="preserve">strony oferty </w:t>
      </w:r>
      <w:bookmarkStart w:id="38" w:name="_Hlk37806321"/>
      <w:r w:rsidRPr="00E44CEF">
        <w:t>wraz ze stanowiącymi jej integralną część załącznikami</w:t>
      </w:r>
      <w:bookmarkEnd w:id="38"/>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7"/>
      <w:r>
        <w:rPr>
          <w:lang w:val="pl-PL"/>
        </w:rPr>
        <w:t>;</w:t>
      </w:r>
      <w:bookmarkStart w:id="39" w:name="_Hlk37939359"/>
    </w:p>
    <w:p w:rsidR="00985970" w:rsidRDefault="00985970" w:rsidP="00985970">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0" w:name="_Hlk37839873"/>
      <w:bookmarkEnd w:id="39"/>
      <w:r w:rsidRPr="00E44CEF">
        <w:t>;</w:t>
      </w:r>
      <w:bookmarkStart w:id="41" w:name="_Hlk37866286"/>
    </w:p>
    <w:p w:rsidR="00985970" w:rsidRDefault="00985970" w:rsidP="00985970">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2" w:name="_Hlk37839906"/>
      <w:bookmarkEnd w:id="40"/>
      <w:bookmarkEnd w:id="41"/>
      <w:r w:rsidRPr="00E44CEF">
        <w:t>;</w:t>
      </w:r>
      <w:bookmarkStart w:id="43" w:name="_Hlk37866308"/>
    </w:p>
    <w:p w:rsidR="00985970" w:rsidRDefault="00985970" w:rsidP="00985970">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CE112A">
        <w:rPr>
          <w:b/>
        </w:rPr>
        <w:t>„Oferta na: Dostawa analizatora do badań zawartości wodoru  dla  Wydziału Infrastruktury i Środowiska  Politechniki Częstochowskiej NIE OTWIERAĆ przed: 2020-09-15 godz. 11:10”</w:t>
      </w:r>
      <w:bookmarkStart w:id="44" w:name="_Hlk37840016"/>
      <w:bookmarkEnd w:id="42"/>
      <w:bookmarkEnd w:id="43"/>
      <w:r w:rsidRPr="00CE112A">
        <w:rPr>
          <w:b/>
        </w:rPr>
        <w:t>;</w:t>
      </w:r>
      <w:bookmarkStart w:id="45" w:name="_Hlk37866352"/>
    </w:p>
    <w:p w:rsidR="00985970" w:rsidRPr="00CE112A" w:rsidRDefault="00985970" w:rsidP="00985970">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w:t>
      </w:r>
      <w:r w:rsidRPr="00E44CEF">
        <w:lastRenderedPageBreak/>
        <w:t xml:space="preserve">terminu Zamawiający otrzyma pisemne oświadczenie o wprowadzeniu zmian lub wycofaniu oferty. Oświadczenie to musi być złożone w sposób wskazany w pkt </w:t>
      </w:r>
      <w:r w:rsidRPr="00CE112A">
        <w:t>1</w:t>
      </w:r>
      <w:r w:rsidR="00CE112A">
        <w:rPr>
          <w:lang w:val="pl-PL"/>
        </w:rPr>
        <w:t>5</w:t>
      </w:r>
      <w:r w:rsidRPr="00CE112A">
        <w:t>.8 ppkt d) oraz dodatkowo oznaczone odpowiednio słowami „ZMIANA” lub „WYCOFANIE”</w:t>
      </w:r>
      <w:bookmarkEnd w:id="44"/>
      <w:bookmarkEnd w:id="45"/>
      <w:r w:rsidRPr="00CE112A">
        <w:t>;</w:t>
      </w:r>
      <w:bookmarkStart w:id="46" w:name="_Hlk37939426"/>
    </w:p>
    <w:p w:rsidR="00985970" w:rsidRPr="00CE112A" w:rsidRDefault="00985970" w:rsidP="00985970">
      <w:pPr>
        <w:pStyle w:val="Nagwek2"/>
        <w:numPr>
          <w:ilvl w:val="0"/>
          <w:numId w:val="34"/>
        </w:numPr>
        <w:spacing w:before="0" w:after="0"/>
        <w:ind w:left="1037" w:hanging="357"/>
        <w:rPr>
          <w:lang w:val="pl-PL"/>
        </w:rPr>
      </w:pPr>
      <w:r w:rsidRPr="00CE112A">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CE112A">
        <w:rPr>
          <w:i/>
        </w:rPr>
        <w:t>Informacje stanowiące tajemnicę przedsiębiorstwa – nie udostępniać</w:t>
      </w:r>
      <w:r w:rsidRPr="00CE112A">
        <w:t>”</w:t>
      </w:r>
      <w:bookmarkEnd w:id="46"/>
      <w:r w:rsidRPr="00CE112A">
        <w:rPr>
          <w:lang w:val="pl-PL"/>
        </w:rPr>
        <w:t>.</w:t>
      </w:r>
    </w:p>
    <w:p w:rsidR="006E2613" w:rsidRPr="00CE112A" w:rsidRDefault="006E2613" w:rsidP="006E2613">
      <w:pPr>
        <w:spacing w:line="259" w:lineRule="auto"/>
        <w:ind w:left="680"/>
        <w:jc w:val="both"/>
        <w:outlineLvl w:val="1"/>
        <w:rPr>
          <w:rFonts w:eastAsia="Calibri"/>
          <w:bCs/>
          <w:iCs/>
          <w:sz w:val="12"/>
          <w:szCs w:val="12"/>
          <w:lang w:eastAsia="x-none"/>
        </w:rPr>
      </w:pPr>
    </w:p>
    <w:p w:rsidR="008C47F9" w:rsidRPr="00CE112A" w:rsidRDefault="006E2613" w:rsidP="006E2613">
      <w:pPr>
        <w:pStyle w:val="Nagwek2"/>
        <w:spacing w:before="0"/>
      </w:pPr>
      <w:bookmarkStart w:id="47" w:name="_Hlk37866756"/>
      <w:r w:rsidRPr="00CE112A">
        <w:t>Wykonawca ponosi wszelkie koszty związane z przygotowaniem i złożeniem oferty</w:t>
      </w:r>
      <w:bookmarkEnd w:id="47"/>
      <w:r w:rsidR="003D0409" w:rsidRPr="00CE112A">
        <w:rPr>
          <w:lang w:val="pl-PL"/>
        </w:rPr>
        <w:t>.</w:t>
      </w:r>
    </w:p>
    <w:p w:rsidR="008D48A7" w:rsidRPr="00CE112A" w:rsidRDefault="008D48A7" w:rsidP="00930133">
      <w:pPr>
        <w:pStyle w:val="Nagwek1"/>
      </w:pPr>
      <w:bookmarkStart w:id="48" w:name="_Toc258314253"/>
      <w:r w:rsidRPr="00CE112A">
        <w:t>Miejsce oraz termin składania i otwarcia ofert</w:t>
      </w:r>
      <w:bookmarkEnd w:id="48"/>
    </w:p>
    <w:p w:rsidR="008D48A7" w:rsidRPr="00CE112A" w:rsidRDefault="006E2613" w:rsidP="00A43AEE">
      <w:pPr>
        <w:pStyle w:val="Nagwek2"/>
      </w:pPr>
      <w:bookmarkStart w:id="49" w:name="_Hlk37940485"/>
      <w:bookmarkStart w:id="50" w:name="_Hlk37857777"/>
      <w:r w:rsidRPr="00CE112A">
        <w:t xml:space="preserve">Ofertę, wraz ze stanowiącymi jej integralną część załącznikami, należy złożyć </w:t>
      </w:r>
      <w:bookmarkStart w:id="51" w:name="_Hlk37407124"/>
      <w:r w:rsidR="00985970" w:rsidRPr="00CE112A">
        <w:t>w formie pisemnej w siedzibie Zamawiającego, pokój nr: 28</w:t>
      </w:r>
      <w:r w:rsidRPr="00CE112A">
        <w:t xml:space="preserve"> </w:t>
      </w:r>
      <w:r w:rsidR="00985970" w:rsidRPr="00CE112A">
        <w:rPr>
          <w:lang w:eastAsia="pl-PL"/>
        </w:rPr>
        <w:t xml:space="preserve"> </w:t>
      </w:r>
      <w:r w:rsidRPr="00CE112A">
        <w:rPr>
          <w:lang w:eastAsia="pl-PL"/>
        </w:rPr>
        <w:t xml:space="preserve"> </w:t>
      </w:r>
      <w:bookmarkEnd w:id="51"/>
      <w:r w:rsidR="00985970" w:rsidRPr="00CE112A">
        <w:t xml:space="preserve"> </w:t>
      </w:r>
      <w:r w:rsidRPr="00CE112A">
        <w:t xml:space="preserve">do dnia </w:t>
      </w:r>
      <w:r w:rsidR="00985970" w:rsidRPr="00CE112A">
        <w:rPr>
          <w:b/>
        </w:rPr>
        <w:t>2020-09-15</w:t>
      </w:r>
      <w:r w:rsidRPr="00CE112A">
        <w:t xml:space="preserve"> do godz. </w:t>
      </w:r>
      <w:bookmarkEnd w:id="49"/>
      <w:bookmarkEnd w:id="50"/>
      <w:r w:rsidR="00985970" w:rsidRPr="00CE112A">
        <w:rPr>
          <w:b/>
        </w:rPr>
        <w:t>10:30</w:t>
      </w:r>
      <w:r w:rsidR="008D48A7" w:rsidRPr="00CE112A">
        <w:t>.</w:t>
      </w:r>
    </w:p>
    <w:p w:rsidR="008D48A7" w:rsidRPr="00CE112A" w:rsidRDefault="00985970" w:rsidP="00A43AEE">
      <w:pPr>
        <w:pStyle w:val="Nagwek2"/>
      </w:pPr>
      <w:bookmarkStart w:id="52" w:name="_Hlk37866947"/>
      <w:r w:rsidRPr="00CE112A">
        <w:t>Oferta złożona po terminie składania ofert w formie pisemnej zostanie niezwłocznie zwrócona Wykonawcy.</w:t>
      </w:r>
      <w:r w:rsidRPr="00CE112A">
        <w:rPr>
          <w:lang w:eastAsia="pl-PL"/>
        </w:rPr>
        <w:t xml:space="preserve"> </w:t>
      </w:r>
      <w:bookmarkEnd w:id="52"/>
    </w:p>
    <w:p w:rsidR="008D48A7" w:rsidRPr="00CE112A" w:rsidRDefault="006E2613" w:rsidP="006E2613">
      <w:pPr>
        <w:pStyle w:val="Nagwek2"/>
        <w:spacing w:after="0"/>
      </w:pPr>
      <w:r w:rsidRPr="00CE112A">
        <w:t xml:space="preserve">Otwarcie ofert nastąpi w dniu: </w:t>
      </w:r>
      <w:r w:rsidR="00985970" w:rsidRPr="00CE112A">
        <w:rPr>
          <w:b/>
        </w:rPr>
        <w:t>2020-09-15</w:t>
      </w:r>
      <w:r w:rsidRPr="00CE112A">
        <w:t xml:space="preserve"> o godz. </w:t>
      </w:r>
      <w:r w:rsidR="00985970" w:rsidRPr="00CE112A">
        <w:rPr>
          <w:b/>
        </w:rPr>
        <w:t>11:10</w:t>
      </w:r>
      <w:r w:rsidRPr="00CE112A">
        <w:t xml:space="preserve">, w </w:t>
      </w:r>
      <w:r w:rsidR="00985970" w:rsidRPr="00CE112A">
        <w:t>siedzibie Zamawiającego</w:t>
      </w:r>
      <w:r w:rsidRPr="00CE112A">
        <w:t xml:space="preserve">, pokój nr </w:t>
      </w:r>
      <w:r w:rsidR="00985970" w:rsidRPr="00CE112A">
        <w:t>32</w:t>
      </w:r>
      <w:r w:rsidR="008D48A7" w:rsidRPr="00CE112A">
        <w:t>.</w:t>
      </w:r>
    </w:p>
    <w:p w:rsidR="00985970" w:rsidRPr="00CE112A" w:rsidRDefault="00985970" w:rsidP="00985970">
      <w:pPr>
        <w:pStyle w:val="Nagwek2"/>
        <w:numPr>
          <w:ilvl w:val="0"/>
          <w:numId w:val="0"/>
        </w:numPr>
        <w:spacing w:before="0" w:after="0"/>
        <w:ind w:left="680"/>
        <w:rPr>
          <w:sz w:val="12"/>
          <w:szCs w:val="12"/>
        </w:rPr>
      </w:pPr>
    </w:p>
    <w:p w:rsidR="00985970" w:rsidRPr="00CE112A" w:rsidRDefault="00985970" w:rsidP="00985970">
      <w:pPr>
        <w:pStyle w:val="Nagwek2"/>
        <w:spacing w:before="0"/>
      </w:pPr>
      <w:r w:rsidRPr="00CE112A">
        <w:t>Otwarcie ofert jest jawne.</w:t>
      </w:r>
    </w:p>
    <w:p w:rsidR="00985970" w:rsidRPr="00CE112A" w:rsidRDefault="00985970" w:rsidP="00985970">
      <w:pPr>
        <w:pStyle w:val="Nagwek2"/>
      </w:pPr>
      <w:r w:rsidRPr="00CE112A">
        <w:t>Bezpo</w:t>
      </w:r>
      <w:r w:rsidRPr="00CE112A">
        <w:rPr>
          <w:rFonts w:ascii="TimesNewRoman" w:eastAsia="TimesNewRoman" w:cs="TimesNewRoman" w:hint="eastAsia"/>
        </w:rPr>
        <w:t>ś</w:t>
      </w:r>
      <w:r w:rsidRPr="00CE112A">
        <w:t>rednio przed otwarciem ofert Zamawiaj</w:t>
      </w:r>
      <w:r w:rsidRPr="00CE112A">
        <w:rPr>
          <w:rFonts w:ascii="TimesNewRoman" w:eastAsia="TimesNewRoman" w:cs="TimesNewRoman" w:hint="eastAsia"/>
        </w:rPr>
        <w:t>ą</w:t>
      </w:r>
      <w:r w:rsidRPr="00CE112A">
        <w:t>cy poda kwot</w:t>
      </w:r>
      <w:r w:rsidRPr="00CE112A">
        <w:rPr>
          <w:rFonts w:ascii="TimesNewRoman" w:eastAsia="TimesNewRoman" w:cs="TimesNewRoman" w:hint="eastAsia"/>
        </w:rPr>
        <w:t>ę</w:t>
      </w:r>
      <w:r w:rsidRPr="00CE112A">
        <w:t>, jak</w:t>
      </w:r>
      <w:r w:rsidRPr="00CE112A">
        <w:rPr>
          <w:rFonts w:ascii="TimesNewRoman" w:eastAsia="TimesNewRoman" w:cs="TimesNewRoman" w:hint="eastAsia"/>
        </w:rPr>
        <w:t>ą</w:t>
      </w:r>
      <w:r w:rsidRPr="00CE112A">
        <w:rPr>
          <w:rFonts w:ascii="TimesNewRoman" w:eastAsia="TimesNewRoman" w:cs="TimesNewRoman"/>
        </w:rPr>
        <w:t xml:space="preserve"> </w:t>
      </w:r>
      <w:r w:rsidRPr="00CE112A">
        <w:t>zamierza przeznaczy</w:t>
      </w:r>
      <w:r w:rsidRPr="00CE112A">
        <w:rPr>
          <w:rFonts w:ascii="TimesNewRoman" w:eastAsia="TimesNewRoman" w:cs="TimesNewRoman" w:hint="eastAsia"/>
        </w:rPr>
        <w:t>ć</w:t>
      </w:r>
      <w:r w:rsidRPr="00CE112A">
        <w:rPr>
          <w:rFonts w:ascii="TimesNewRoman" w:eastAsia="TimesNewRoman" w:cs="TimesNewRoman"/>
        </w:rPr>
        <w:t xml:space="preserve"> </w:t>
      </w:r>
      <w:r w:rsidRPr="00CE112A">
        <w:t>na sfinansowanie zamówienia.</w:t>
      </w:r>
    </w:p>
    <w:p w:rsidR="00985970" w:rsidRPr="00CE112A" w:rsidRDefault="00985970" w:rsidP="00985970">
      <w:pPr>
        <w:pStyle w:val="Nagwek2"/>
        <w:spacing w:after="0"/>
      </w:pPr>
      <w:r w:rsidRPr="00CE112A">
        <w:t>Podczas otwarcia ofert podaje si</w:t>
      </w:r>
      <w:r w:rsidRPr="00CE112A">
        <w:rPr>
          <w:rFonts w:ascii="TimesNewRoman" w:eastAsia="TimesNewRoman" w:cs="TimesNewRoman" w:hint="eastAsia"/>
        </w:rPr>
        <w:t>ę</w:t>
      </w:r>
      <w:r w:rsidRPr="00CE112A">
        <w:rPr>
          <w:rFonts w:ascii="TimesNewRoman" w:eastAsia="TimesNewRoman" w:cs="TimesNewRoman"/>
        </w:rPr>
        <w:t xml:space="preserve"> </w:t>
      </w:r>
      <w:r w:rsidRPr="00CE112A">
        <w:t>nazwy (firmy) oraz adresy Wykonawców, a tak</w:t>
      </w:r>
      <w:r w:rsidRPr="00CE112A">
        <w:rPr>
          <w:rFonts w:ascii="TimesNewRoman" w:eastAsia="TimesNewRoman" w:cs="TimesNewRoman"/>
        </w:rPr>
        <w:t>ż</w:t>
      </w:r>
      <w:r w:rsidRPr="00CE112A">
        <w:t>e informacje dotycz</w:t>
      </w:r>
      <w:r w:rsidRPr="00CE112A">
        <w:rPr>
          <w:rFonts w:ascii="TimesNewRoman" w:eastAsia="TimesNewRoman" w:cs="TimesNewRoman" w:hint="eastAsia"/>
        </w:rPr>
        <w:t>ą</w:t>
      </w:r>
      <w:r w:rsidRPr="00CE112A">
        <w:t>ce ceny, terminu wykonania zamówienia, okresu gwarancji i warunków płatno</w:t>
      </w:r>
      <w:r w:rsidRPr="00CE112A">
        <w:rPr>
          <w:rFonts w:ascii="TimesNewRoman" w:eastAsia="TimesNewRoman" w:cs="TimesNewRoman" w:hint="eastAsia"/>
        </w:rPr>
        <w:t>ś</w:t>
      </w:r>
      <w:r w:rsidRPr="00CE112A">
        <w:t>ci zawartych w ofertach.</w:t>
      </w:r>
    </w:p>
    <w:p w:rsidR="006E2613" w:rsidRPr="00CE112A" w:rsidRDefault="006E2613" w:rsidP="006E2613">
      <w:pPr>
        <w:pStyle w:val="Nagwek2"/>
        <w:numPr>
          <w:ilvl w:val="0"/>
          <w:numId w:val="0"/>
        </w:numPr>
        <w:spacing w:before="0" w:after="0"/>
        <w:ind w:left="680"/>
        <w:rPr>
          <w:sz w:val="12"/>
          <w:szCs w:val="12"/>
        </w:rPr>
      </w:pPr>
    </w:p>
    <w:p w:rsidR="00B51D96" w:rsidRPr="00CE112A" w:rsidRDefault="008A3895" w:rsidP="006E2613">
      <w:pPr>
        <w:pStyle w:val="Nagwek2"/>
        <w:spacing w:before="0"/>
      </w:pPr>
      <w:r w:rsidRPr="00CE112A">
        <w:t>Niezwłocznie po otwarciu ofert Z</w:t>
      </w:r>
      <w:r w:rsidR="00B51D96" w:rsidRPr="00CE112A">
        <w:t>amawiający zamieści na stronie internetowej informacje dotyczące:</w:t>
      </w:r>
    </w:p>
    <w:p w:rsidR="00B51D96" w:rsidRPr="00CE112A" w:rsidRDefault="00B51D96" w:rsidP="006E2613">
      <w:pPr>
        <w:pStyle w:val="Nagwek2"/>
        <w:numPr>
          <w:ilvl w:val="0"/>
          <w:numId w:val="16"/>
        </w:numPr>
        <w:spacing w:before="60"/>
        <w:ind w:left="1037" w:hanging="357"/>
      </w:pPr>
      <w:r w:rsidRPr="00CE112A">
        <w:t>kwoty, jaką zamierza przeznaczyć na sfinansowanie zamówienia;</w:t>
      </w:r>
    </w:p>
    <w:p w:rsidR="00B51D96" w:rsidRPr="00CE112A" w:rsidRDefault="00B51D96" w:rsidP="006E2613">
      <w:pPr>
        <w:pStyle w:val="Nagwek2"/>
        <w:numPr>
          <w:ilvl w:val="0"/>
          <w:numId w:val="16"/>
        </w:numPr>
        <w:spacing w:before="60"/>
        <w:ind w:left="1037" w:hanging="357"/>
      </w:pPr>
      <w:r w:rsidRPr="00CE112A">
        <w:t>f</w:t>
      </w:r>
      <w:r w:rsidR="005B4881" w:rsidRPr="00CE112A">
        <w:t>irm oraz adresów W</w:t>
      </w:r>
      <w:r w:rsidRPr="00CE112A">
        <w:t>ykonawców, którzy złożyli oferty w terminie;</w:t>
      </w:r>
    </w:p>
    <w:p w:rsidR="00B51D96" w:rsidRPr="00CE112A" w:rsidRDefault="00B51D96" w:rsidP="006E2613">
      <w:pPr>
        <w:pStyle w:val="Nagwek2"/>
        <w:numPr>
          <w:ilvl w:val="0"/>
          <w:numId w:val="16"/>
        </w:numPr>
        <w:spacing w:before="60"/>
        <w:ind w:left="1037" w:hanging="357"/>
      </w:pPr>
      <w:r w:rsidRPr="00CE112A">
        <w:t>ceny, terminu wykonania zamówienia, okresu gwarancji i warunków płatności zawartych w ofertach.</w:t>
      </w:r>
    </w:p>
    <w:p w:rsidR="008D48A7" w:rsidRPr="00CE112A" w:rsidRDefault="008D48A7" w:rsidP="00930133">
      <w:pPr>
        <w:pStyle w:val="Nagwek1"/>
      </w:pPr>
      <w:bookmarkStart w:id="53" w:name="_Toc258314254"/>
      <w:r w:rsidRPr="00CE112A">
        <w:t>Opis sposobu obliczenia ceny</w:t>
      </w:r>
      <w:bookmarkEnd w:id="53"/>
    </w:p>
    <w:p w:rsidR="008D48A7" w:rsidRPr="00CE112A" w:rsidRDefault="008A3895" w:rsidP="00B51D96">
      <w:pPr>
        <w:pStyle w:val="Nagwek2"/>
        <w:rPr>
          <w:color w:val="auto"/>
        </w:rPr>
      </w:pPr>
      <w:r w:rsidRPr="00CE112A">
        <w:t>W ofercie W</w:t>
      </w:r>
      <w:r w:rsidR="00B51D96" w:rsidRPr="00CE112A">
        <w:t>ykonawca zobowiązany jest podać cenę za wykonanie całego przedmiotu zamówienia w złotych polskich (PLN), z dokładnością do dwóch miejsc po przecinku</w:t>
      </w:r>
      <w:r w:rsidR="008D48A7" w:rsidRPr="00CE112A">
        <w:t>.</w:t>
      </w:r>
    </w:p>
    <w:p w:rsidR="008D48A7" w:rsidRPr="00CE112A" w:rsidRDefault="00B51D96" w:rsidP="00B51D96">
      <w:pPr>
        <w:pStyle w:val="Nagwek2"/>
        <w:rPr>
          <w:color w:val="auto"/>
        </w:rPr>
      </w:pPr>
      <w:r w:rsidRPr="00CE112A">
        <w:t>W cenie należy uwzględnić wszystkie wymagania określone w niniejszej SIWZ oraz wszel</w:t>
      </w:r>
      <w:r w:rsidR="008A3895" w:rsidRPr="00CE112A">
        <w:t>kie koszty, jakie poniesie W</w:t>
      </w:r>
      <w:r w:rsidRPr="00CE112A">
        <w:t>ykonawca z tytułu należytej oraz zgodnej z obowiązującymi przepisami realizacji przedmiotu zamówienia</w:t>
      </w:r>
      <w:r w:rsidR="008D48A7" w:rsidRPr="00CE112A">
        <w:t>.</w:t>
      </w:r>
    </w:p>
    <w:p w:rsidR="00226999" w:rsidRPr="00CE112A" w:rsidRDefault="00226999" w:rsidP="00A43AEE">
      <w:pPr>
        <w:pStyle w:val="Nagwek2"/>
      </w:pPr>
      <w:r w:rsidRPr="00CE112A">
        <w:t xml:space="preserve">Rozliczenia między Zamawiającym a Wykonawcą prowadzone będą w walucie </w:t>
      </w:r>
      <w:r w:rsidR="00B51D96" w:rsidRPr="00CE112A">
        <w:rPr>
          <w:lang w:val="pl-PL"/>
        </w:rPr>
        <w:t>PLN</w:t>
      </w:r>
      <w:r w:rsidRPr="00CE112A">
        <w:t>.</w:t>
      </w:r>
    </w:p>
    <w:p w:rsidR="00B51D96" w:rsidRPr="00CE112A" w:rsidRDefault="00B51D96" w:rsidP="00B51D96">
      <w:pPr>
        <w:pStyle w:val="Nagwek2"/>
      </w:pPr>
      <w:r w:rsidRPr="00CE112A">
        <w:t>Jeżeli złożono ofertę, której wybór prowadziłby do</w:t>
      </w:r>
      <w:r w:rsidR="00AF1311" w:rsidRPr="00CE112A">
        <w:t xml:space="preserve"> powstania u Z</w:t>
      </w:r>
      <w:r w:rsidRPr="00CE112A">
        <w:t>amawiającego obowiązku podatkowego zgodnie z przepisami</w:t>
      </w:r>
      <w:r w:rsidR="008A3895" w:rsidRPr="00CE112A">
        <w:t xml:space="preserve"> o podatku od towarów i usług, Z</w:t>
      </w:r>
      <w:r w:rsidRPr="00CE112A">
        <w:t>amawiający w celu oceny takiej oferty dolicza do przedstawionej w niej ceny podatek od towarów i usług, który miałby obowiązek rozliczyć zgodnie z tymi przepisami. Wykonawc</w:t>
      </w:r>
      <w:r w:rsidR="00AF1311" w:rsidRPr="00CE112A">
        <w:t>a, składając ofertę, informuje Z</w:t>
      </w:r>
      <w:r w:rsidRPr="00CE112A">
        <w:t>amawiającego, czy wybór oferty b</w:t>
      </w:r>
      <w:r w:rsidR="00AF1311" w:rsidRPr="00CE112A">
        <w:t>ędzie prowadzić do powstania u Z</w:t>
      </w:r>
      <w:r w:rsidRPr="00CE112A">
        <w:t xml:space="preserve">amawiającego obowiązku podatkowego, wskazując nazwę </w:t>
      </w:r>
      <w:r w:rsidRPr="00CE112A">
        <w:lastRenderedPageBreak/>
        <w:t>(rodzaj) towaru lub usługi, których dostawa lub świadczenie będzie prowadzić do jego powstania, oraz wskazując ich wartość bez kwoty podatku.</w:t>
      </w:r>
    </w:p>
    <w:p w:rsidR="00EB7871" w:rsidRPr="00CE112A" w:rsidRDefault="00985970" w:rsidP="00A43AEE">
      <w:pPr>
        <w:pStyle w:val="Nagwek2"/>
      </w:pPr>
      <w:r w:rsidRPr="00CE112A">
        <w:t>Zamawiający nie przewiduje udzielenia zaliczek na poczet wykonania zamówienia.</w:t>
      </w:r>
    </w:p>
    <w:p w:rsidR="008D48A7" w:rsidRPr="00876900" w:rsidRDefault="008D48A7" w:rsidP="00930133">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85970" w:rsidRPr="006672A6" w:rsidTr="008C4D39">
        <w:tc>
          <w:tcPr>
            <w:tcW w:w="900" w:type="dxa"/>
          </w:tcPr>
          <w:p w:rsidR="00985970" w:rsidRPr="00A149D4" w:rsidRDefault="00985970" w:rsidP="008C4D39">
            <w:pPr>
              <w:spacing w:before="60" w:after="120"/>
              <w:jc w:val="both"/>
            </w:pPr>
            <w:r w:rsidRPr="00985970">
              <w:t>1</w:t>
            </w:r>
          </w:p>
        </w:tc>
        <w:tc>
          <w:tcPr>
            <w:tcW w:w="4278" w:type="dxa"/>
          </w:tcPr>
          <w:p w:rsidR="00985970" w:rsidRPr="00A149D4" w:rsidRDefault="00985970" w:rsidP="008C4D39">
            <w:pPr>
              <w:spacing w:before="60" w:after="120"/>
              <w:jc w:val="both"/>
            </w:pPr>
            <w:r w:rsidRPr="00985970">
              <w:t>Cena</w:t>
            </w:r>
          </w:p>
        </w:tc>
        <w:tc>
          <w:tcPr>
            <w:tcW w:w="1842" w:type="dxa"/>
          </w:tcPr>
          <w:p w:rsidR="00985970" w:rsidRPr="00A149D4" w:rsidRDefault="00985970" w:rsidP="008C4D39">
            <w:pPr>
              <w:spacing w:before="60" w:after="120"/>
              <w:jc w:val="both"/>
            </w:pPr>
            <w:r w:rsidRPr="00985970">
              <w:t>60</w:t>
            </w:r>
            <w:r>
              <w:t xml:space="preserve"> %</w:t>
            </w:r>
          </w:p>
        </w:tc>
      </w:tr>
      <w:tr w:rsidR="00985970" w:rsidRPr="006672A6" w:rsidTr="008C4D39">
        <w:tc>
          <w:tcPr>
            <w:tcW w:w="900" w:type="dxa"/>
          </w:tcPr>
          <w:p w:rsidR="00985970" w:rsidRPr="00A149D4" w:rsidRDefault="00985970" w:rsidP="008C4D39">
            <w:pPr>
              <w:spacing w:before="60" w:after="120"/>
              <w:jc w:val="both"/>
            </w:pPr>
            <w:r w:rsidRPr="00985970">
              <w:t>2</w:t>
            </w:r>
          </w:p>
        </w:tc>
        <w:tc>
          <w:tcPr>
            <w:tcW w:w="4278" w:type="dxa"/>
          </w:tcPr>
          <w:p w:rsidR="00985970" w:rsidRPr="00A149D4" w:rsidRDefault="00985970" w:rsidP="008C4D39">
            <w:pPr>
              <w:spacing w:before="60" w:after="120"/>
              <w:jc w:val="both"/>
            </w:pPr>
            <w:r w:rsidRPr="00985970">
              <w:t>Termin dostawy</w:t>
            </w:r>
          </w:p>
        </w:tc>
        <w:tc>
          <w:tcPr>
            <w:tcW w:w="1842" w:type="dxa"/>
          </w:tcPr>
          <w:p w:rsidR="00985970" w:rsidRPr="00A149D4" w:rsidRDefault="00985970" w:rsidP="008C4D39">
            <w:pPr>
              <w:spacing w:before="60" w:after="120"/>
              <w:jc w:val="both"/>
            </w:pPr>
            <w:r w:rsidRPr="00985970">
              <w:t>20</w:t>
            </w:r>
            <w:r>
              <w:t xml:space="preserve"> %</w:t>
            </w:r>
          </w:p>
        </w:tc>
      </w:tr>
      <w:tr w:rsidR="00985970" w:rsidRPr="006672A6" w:rsidTr="008C4D39">
        <w:tc>
          <w:tcPr>
            <w:tcW w:w="900" w:type="dxa"/>
          </w:tcPr>
          <w:p w:rsidR="00985970" w:rsidRPr="00A149D4" w:rsidRDefault="00985970" w:rsidP="008C4D39">
            <w:pPr>
              <w:spacing w:before="60" w:after="120"/>
              <w:jc w:val="both"/>
            </w:pPr>
            <w:r w:rsidRPr="00985970">
              <w:t>3</w:t>
            </w:r>
          </w:p>
        </w:tc>
        <w:tc>
          <w:tcPr>
            <w:tcW w:w="4278" w:type="dxa"/>
          </w:tcPr>
          <w:p w:rsidR="00985970" w:rsidRPr="00A149D4" w:rsidRDefault="00985970" w:rsidP="008C4D39">
            <w:pPr>
              <w:spacing w:before="60" w:after="120"/>
              <w:jc w:val="both"/>
            </w:pPr>
            <w:r w:rsidRPr="00985970">
              <w:t>Przepływ gazu</w:t>
            </w:r>
          </w:p>
        </w:tc>
        <w:tc>
          <w:tcPr>
            <w:tcW w:w="1842" w:type="dxa"/>
          </w:tcPr>
          <w:p w:rsidR="00985970" w:rsidRPr="00A149D4" w:rsidRDefault="00985970" w:rsidP="008C4D39">
            <w:pPr>
              <w:spacing w:before="60" w:after="120"/>
              <w:jc w:val="both"/>
            </w:pPr>
            <w:r w:rsidRPr="00985970">
              <w:t>10</w:t>
            </w:r>
            <w:r>
              <w:t xml:space="preserve"> %</w:t>
            </w:r>
          </w:p>
        </w:tc>
      </w:tr>
      <w:tr w:rsidR="00985970" w:rsidRPr="006672A6" w:rsidTr="008C4D39">
        <w:tc>
          <w:tcPr>
            <w:tcW w:w="900" w:type="dxa"/>
          </w:tcPr>
          <w:p w:rsidR="00985970" w:rsidRPr="00A149D4" w:rsidRDefault="00985970" w:rsidP="008C4D39">
            <w:pPr>
              <w:spacing w:before="60" w:after="120"/>
              <w:jc w:val="both"/>
            </w:pPr>
            <w:r w:rsidRPr="00985970">
              <w:t>4</w:t>
            </w:r>
          </w:p>
        </w:tc>
        <w:tc>
          <w:tcPr>
            <w:tcW w:w="4278" w:type="dxa"/>
          </w:tcPr>
          <w:p w:rsidR="00985970" w:rsidRPr="00A149D4" w:rsidRDefault="00985970" w:rsidP="008C4D39">
            <w:pPr>
              <w:spacing w:before="60" w:after="120"/>
              <w:jc w:val="both"/>
            </w:pPr>
            <w:r w:rsidRPr="00985970">
              <w:t>Okres gwarancji</w:t>
            </w:r>
          </w:p>
        </w:tc>
        <w:tc>
          <w:tcPr>
            <w:tcW w:w="1842" w:type="dxa"/>
          </w:tcPr>
          <w:p w:rsidR="00985970" w:rsidRPr="00A149D4" w:rsidRDefault="00985970" w:rsidP="008C4D39">
            <w:pPr>
              <w:spacing w:before="60" w:after="120"/>
              <w:jc w:val="both"/>
            </w:pPr>
            <w:r w:rsidRPr="00985970">
              <w:t>10</w:t>
            </w:r>
            <w:r>
              <w:t xml:space="preserve"> %</w:t>
            </w:r>
          </w:p>
        </w:tc>
      </w:tr>
    </w:tbl>
    <w:p w:rsidR="008D48A7" w:rsidRDefault="008D48A7" w:rsidP="00A43AEE">
      <w:pPr>
        <w:pStyle w:val="Nagwek2"/>
      </w:pPr>
      <w:r w:rsidRPr="00BA284E">
        <w:t xml:space="preserve">Punkty przyznawane za podane w </w:t>
      </w:r>
      <w:r w:rsidRPr="00CE112A">
        <w:t xml:space="preserve">pkt </w:t>
      </w:r>
      <w:r w:rsidR="00B51D96" w:rsidRPr="00CE112A">
        <w:t>1</w:t>
      </w:r>
      <w:r w:rsidR="00CE112A" w:rsidRPr="00CE112A">
        <w:rPr>
          <w:lang w:val="pl-PL"/>
        </w:rPr>
        <w:t>8</w:t>
      </w:r>
      <w:r w:rsidRPr="00CE112A">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85970" w:rsidRPr="006672A6" w:rsidTr="008C4D39">
        <w:tc>
          <w:tcPr>
            <w:tcW w:w="2237" w:type="dxa"/>
          </w:tcPr>
          <w:p w:rsidR="00985970" w:rsidRPr="006672A6" w:rsidRDefault="00985970" w:rsidP="008C4D39">
            <w:pPr>
              <w:spacing w:before="60" w:after="120"/>
              <w:jc w:val="both"/>
              <w:rPr>
                <w:b/>
              </w:rPr>
            </w:pPr>
            <w:r w:rsidRPr="00985970">
              <w:t>1</w:t>
            </w:r>
          </w:p>
        </w:tc>
        <w:tc>
          <w:tcPr>
            <w:tcW w:w="4783" w:type="dxa"/>
          </w:tcPr>
          <w:p w:rsidR="00985970" w:rsidRDefault="00985970" w:rsidP="008C4D39">
            <w:pPr>
              <w:pStyle w:val="Tekstpodstawowy"/>
              <w:spacing w:before="60"/>
            </w:pPr>
            <w:r w:rsidRPr="00985970">
              <w:t>Cena</w:t>
            </w:r>
          </w:p>
          <w:p w:rsidR="00985970" w:rsidRPr="00985970" w:rsidRDefault="00985970" w:rsidP="008C4D39">
            <w:pPr>
              <w:spacing w:before="60" w:after="120"/>
              <w:jc w:val="both"/>
            </w:pPr>
            <w:r w:rsidRPr="00985970">
              <w:t>Liczba punktów = ( Cmin/Cof ) * 100 * waga</w:t>
            </w:r>
          </w:p>
          <w:p w:rsidR="00985970" w:rsidRPr="00985970" w:rsidRDefault="00985970" w:rsidP="008C4D39">
            <w:pPr>
              <w:spacing w:before="60" w:after="120"/>
              <w:jc w:val="both"/>
            </w:pPr>
            <w:r w:rsidRPr="00985970">
              <w:t>gdzie:</w:t>
            </w:r>
          </w:p>
          <w:p w:rsidR="00985970" w:rsidRPr="00985970" w:rsidRDefault="00985970" w:rsidP="008C4D39">
            <w:pPr>
              <w:spacing w:before="60" w:after="120"/>
              <w:jc w:val="both"/>
            </w:pPr>
            <w:r w:rsidRPr="00985970">
              <w:t>- Cmin - najniższa cena spośród wszystkich ofert</w:t>
            </w:r>
          </w:p>
          <w:p w:rsidR="00985970" w:rsidRPr="006672A6" w:rsidRDefault="00985970" w:rsidP="008C4D39">
            <w:pPr>
              <w:spacing w:before="60" w:after="120"/>
              <w:jc w:val="both"/>
              <w:rPr>
                <w:b/>
              </w:rPr>
            </w:pPr>
            <w:r w:rsidRPr="00985970">
              <w:t>- Cof -  cena podana w ofercie</w:t>
            </w:r>
          </w:p>
        </w:tc>
      </w:tr>
      <w:tr w:rsidR="00985970" w:rsidRPr="006672A6" w:rsidTr="008C4D39">
        <w:tc>
          <w:tcPr>
            <w:tcW w:w="2237" w:type="dxa"/>
          </w:tcPr>
          <w:p w:rsidR="00985970" w:rsidRPr="006672A6" w:rsidRDefault="00985970" w:rsidP="008C4D39">
            <w:pPr>
              <w:spacing w:before="60" w:after="120"/>
              <w:jc w:val="both"/>
              <w:rPr>
                <w:b/>
              </w:rPr>
            </w:pPr>
            <w:r w:rsidRPr="00985970">
              <w:t>2</w:t>
            </w:r>
          </w:p>
        </w:tc>
        <w:tc>
          <w:tcPr>
            <w:tcW w:w="4783" w:type="dxa"/>
          </w:tcPr>
          <w:p w:rsidR="00985970" w:rsidRDefault="00985970" w:rsidP="008C4D39">
            <w:pPr>
              <w:pStyle w:val="Tekstpodstawowy"/>
              <w:spacing w:before="60"/>
            </w:pPr>
            <w:r w:rsidRPr="00985970">
              <w:t>Termin dostawy</w:t>
            </w:r>
          </w:p>
          <w:p w:rsidR="00985970" w:rsidRPr="00985970" w:rsidRDefault="00985970" w:rsidP="008C4D39">
            <w:pPr>
              <w:spacing w:before="60" w:after="120"/>
              <w:jc w:val="both"/>
            </w:pPr>
            <w:r w:rsidRPr="00985970">
              <w:t>Termin  realizacji  należy zaznaczyc w  formularzu oferty</w:t>
            </w:r>
          </w:p>
          <w:p w:rsidR="00985970" w:rsidRPr="00985970" w:rsidRDefault="00985970" w:rsidP="008C4D39">
            <w:pPr>
              <w:spacing w:before="60" w:after="120"/>
              <w:jc w:val="both"/>
            </w:pPr>
            <w:r w:rsidRPr="00985970">
              <w:t>Liczba punktów = G/20* 100* WAGA</w:t>
            </w:r>
          </w:p>
          <w:p w:rsidR="00985970" w:rsidRPr="00985970" w:rsidRDefault="00985970" w:rsidP="008C4D39">
            <w:pPr>
              <w:spacing w:before="60" w:after="120"/>
              <w:jc w:val="both"/>
            </w:pPr>
            <w:r w:rsidRPr="00985970">
              <w:t>G liczba punktów wg indywidualnej oceny każdego członka Komisji  od 0 do 20.</w:t>
            </w:r>
          </w:p>
          <w:p w:rsidR="00985970" w:rsidRPr="00985970" w:rsidRDefault="00985970" w:rsidP="008C4D39">
            <w:pPr>
              <w:spacing w:before="60" w:after="120"/>
              <w:jc w:val="both"/>
            </w:pPr>
            <w:r w:rsidRPr="00985970">
              <w:t xml:space="preserve"> gdzie:</w:t>
            </w:r>
          </w:p>
          <w:p w:rsidR="00985970" w:rsidRPr="00985970" w:rsidRDefault="00985970" w:rsidP="008C4D39">
            <w:pPr>
              <w:spacing w:before="60" w:after="120"/>
              <w:jc w:val="both"/>
            </w:pPr>
            <w:r w:rsidRPr="00985970">
              <w:t>42 dni  -20 pkt</w:t>
            </w:r>
          </w:p>
          <w:p w:rsidR="00985970" w:rsidRPr="00985970" w:rsidRDefault="00985970" w:rsidP="008C4D39">
            <w:pPr>
              <w:spacing w:before="60" w:after="120"/>
              <w:jc w:val="both"/>
            </w:pPr>
            <w:r w:rsidRPr="00985970">
              <w:t>49 dni  -10 pkt</w:t>
            </w:r>
          </w:p>
          <w:p w:rsidR="00985970" w:rsidRPr="006672A6" w:rsidRDefault="00985970" w:rsidP="008C4D39">
            <w:pPr>
              <w:spacing w:before="60" w:after="120"/>
              <w:jc w:val="both"/>
              <w:rPr>
                <w:b/>
              </w:rPr>
            </w:pPr>
            <w:r w:rsidRPr="00985970">
              <w:t>56 dni  - 0 pkt</w:t>
            </w:r>
          </w:p>
        </w:tc>
      </w:tr>
      <w:tr w:rsidR="00985970" w:rsidRPr="006672A6" w:rsidTr="008C4D39">
        <w:tc>
          <w:tcPr>
            <w:tcW w:w="2237" w:type="dxa"/>
          </w:tcPr>
          <w:p w:rsidR="00985970" w:rsidRPr="006672A6" w:rsidRDefault="00985970" w:rsidP="008C4D39">
            <w:pPr>
              <w:spacing w:before="60" w:after="120"/>
              <w:jc w:val="both"/>
              <w:rPr>
                <w:b/>
              </w:rPr>
            </w:pPr>
            <w:r w:rsidRPr="00985970">
              <w:t>3</w:t>
            </w:r>
          </w:p>
        </w:tc>
        <w:tc>
          <w:tcPr>
            <w:tcW w:w="4783" w:type="dxa"/>
          </w:tcPr>
          <w:p w:rsidR="00985970" w:rsidRDefault="00985970" w:rsidP="008C4D39">
            <w:pPr>
              <w:pStyle w:val="Tekstpodstawowy"/>
              <w:spacing w:before="60"/>
            </w:pPr>
            <w:r w:rsidRPr="00985970">
              <w:t>Przepływ gazu</w:t>
            </w:r>
          </w:p>
          <w:p w:rsidR="00985970" w:rsidRPr="00985970" w:rsidRDefault="00985970" w:rsidP="008C4D39">
            <w:pPr>
              <w:spacing w:before="60" w:after="120"/>
              <w:jc w:val="both"/>
            </w:pPr>
            <w:r w:rsidRPr="00985970">
              <w:t>Przepływ gazu należy wpisac w  formularzu oferty</w:t>
            </w:r>
          </w:p>
          <w:p w:rsidR="00985970" w:rsidRPr="00985970" w:rsidRDefault="00985970" w:rsidP="008C4D39">
            <w:pPr>
              <w:spacing w:before="60" w:after="120"/>
              <w:jc w:val="both"/>
            </w:pPr>
            <w:r w:rsidRPr="00985970">
              <w:t>Liczba punktów = G/10* 100* WAGA</w:t>
            </w:r>
          </w:p>
          <w:p w:rsidR="00985970" w:rsidRPr="00985970" w:rsidRDefault="00985970" w:rsidP="008C4D39">
            <w:pPr>
              <w:spacing w:before="60" w:after="120"/>
              <w:jc w:val="both"/>
            </w:pPr>
            <w:r w:rsidRPr="00985970">
              <w:t xml:space="preserve">G liczba punktów wg indywidualnej oceny </w:t>
            </w:r>
            <w:r w:rsidRPr="00985970">
              <w:lastRenderedPageBreak/>
              <w:t>każdego członka Komisji  od 0 do 10.</w:t>
            </w:r>
          </w:p>
          <w:p w:rsidR="00985970" w:rsidRPr="00985970" w:rsidRDefault="00985970" w:rsidP="008C4D39">
            <w:pPr>
              <w:spacing w:before="60" w:after="120"/>
              <w:jc w:val="both"/>
            </w:pPr>
            <w:r w:rsidRPr="00985970">
              <w:t xml:space="preserve"> gdzie:</w:t>
            </w:r>
          </w:p>
          <w:p w:rsidR="00985970" w:rsidRPr="006672A6" w:rsidRDefault="00985970" w:rsidP="008C4D39">
            <w:pPr>
              <w:spacing w:before="60" w:after="120"/>
              <w:jc w:val="both"/>
              <w:rPr>
                <w:b/>
              </w:rPr>
            </w:pPr>
            <w:r w:rsidRPr="00985970">
              <w:t>Możliwość obniżenia przepływu próbkowanego gazu poniżej wartości 30 dm3/h; za obniżenie o każdy 1dm3/h przyznanych zostanie  1 pkt. Minimalny przepływ próbkowanego gazu 20 dm3/h - 10 pkt.</w:t>
            </w:r>
          </w:p>
        </w:tc>
      </w:tr>
      <w:tr w:rsidR="00985970" w:rsidRPr="006672A6" w:rsidTr="008C4D39">
        <w:tc>
          <w:tcPr>
            <w:tcW w:w="2237" w:type="dxa"/>
          </w:tcPr>
          <w:p w:rsidR="00985970" w:rsidRPr="006672A6" w:rsidRDefault="00985970" w:rsidP="008C4D39">
            <w:pPr>
              <w:spacing w:before="60" w:after="120"/>
              <w:jc w:val="both"/>
              <w:rPr>
                <w:b/>
              </w:rPr>
            </w:pPr>
            <w:r w:rsidRPr="00985970">
              <w:lastRenderedPageBreak/>
              <w:t>4</w:t>
            </w:r>
          </w:p>
        </w:tc>
        <w:tc>
          <w:tcPr>
            <w:tcW w:w="4783" w:type="dxa"/>
          </w:tcPr>
          <w:p w:rsidR="00985970" w:rsidRDefault="00985970" w:rsidP="008C4D39">
            <w:pPr>
              <w:pStyle w:val="Tekstpodstawowy"/>
              <w:spacing w:before="60"/>
            </w:pPr>
            <w:r w:rsidRPr="00985970">
              <w:t>Okres gwarancji</w:t>
            </w:r>
          </w:p>
          <w:p w:rsidR="00985970" w:rsidRPr="00985970" w:rsidRDefault="00985970" w:rsidP="008C4D39">
            <w:pPr>
              <w:spacing w:before="60" w:after="120"/>
              <w:jc w:val="both"/>
            </w:pPr>
            <w:r w:rsidRPr="00985970">
              <w:t>Okres gwarancji należy podać w miesiącach w formularzu oferty.</w:t>
            </w:r>
          </w:p>
          <w:p w:rsidR="00985970" w:rsidRPr="00985970" w:rsidRDefault="00985970" w:rsidP="008C4D39">
            <w:pPr>
              <w:spacing w:before="60" w:after="120"/>
              <w:jc w:val="both"/>
            </w:pPr>
            <w:r w:rsidRPr="00985970">
              <w:t>Oceniana będzie długość okresu gwarancji liczona w miesiącach ponad minimum określone w opisie przedmiotu zamówienia.</w:t>
            </w:r>
          </w:p>
          <w:p w:rsidR="00985970" w:rsidRPr="00985970" w:rsidRDefault="00985970" w:rsidP="008C4D39">
            <w:pPr>
              <w:spacing w:before="60" w:after="120"/>
              <w:jc w:val="both"/>
            </w:pPr>
            <w:r w:rsidRPr="00985970">
              <w:t>Jeśli Wykonawca zaoferuje okres gwarancji jako wymagane minimum, oferta w tym kryterium otrzyma 0 pkt. W przedmiotowym kryterium można uzyskać maksymalnie 10 pkt. Oferta o najdłuższym okresie gwarancji otrzyma 10 pkt, pozostałe proporcjonalnie mniej. Okres gwarancji ponad 60 miesięcy nie będzie dodatkowo punktowany tj. Zamawiający oceni ofertę tak jak dla Wykonawcy który zaoferował 60 miesięcy gwarancji.</w:t>
            </w:r>
          </w:p>
          <w:p w:rsidR="00985970" w:rsidRPr="00985970" w:rsidRDefault="00985970" w:rsidP="008C4D39">
            <w:pPr>
              <w:spacing w:before="60" w:after="120"/>
              <w:jc w:val="both"/>
            </w:pPr>
            <w:r w:rsidRPr="00985970">
              <w:t>Ostatecznie oferta otrzyma w tym kryterium zaokrągloną do dwóch miejsc po przecinku liczbę punktów wynikającą z działania:</w:t>
            </w:r>
          </w:p>
          <w:p w:rsidR="00985970" w:rsidRPr="00985970" w:rsidRDefault="00985970" w:rsidP="008C4D39">
            <w:pPr>
              <w:spacing w:before="60" w:after="120"/>
              <w:jc w:val="both"/>
            </w:pPr>
            <w:r w:rsidRPr="00985970">
              <w:t>Liczba punktów = (Gof/Gmax) * 100 * waga</w:t>
            </w:r>
          </w:p>
          <w:p w:rsidR="00985970" w:rsidRPr="00985970" w:rsidRDefault="00985970" w:rsidP="008C4D39">
            <w:pPr>
              <w:spacing w:before="60" w:after="120"/>
              <w:jc w:val="both"/>
            </w:pPr>
            <w:r w:rsidRPr="00985970">
              <w:t>gdzie:</w:t>
            </w:r>
          </w:p>
          <w:p w:rsidR="00985970" w:rsidRPr="00985970" w:rsidRDefault="00985970" w:rsidP="008C4D39">
            <w:pPr>
              <w:spacing w:before="60" w:after="120"/>
              <w:jc w:val="both"/>
            </w:pPr>
            <w:r w:rsidRPr="00985970">
              <w:t>- Gof - liczba miesięcy okresu gwarancji w badanej ofercie minus wymagane minimum.</w:t>
            </w:r>
          </w:p>
          <w:p w:rsidR="00985970" w:rsidRPr="006672A6" w:rsidRDefault="00985970" w:rsidP="008C4D39">
            <w:pPr>
              <w:spacing w:before="60" w:after="120"/>
              <w:jc w:val="both"/>
              <w:rPr>
                <w:b/>
              </w:rPr>
            </w:pPr>
            <w:r w:rsidRPr="00985970">
              <w:t>- Gmax - najwyższa spośród wszystkich ofert liczba miesięcy okresu gwarancji minus wymagane minimum.</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CE112A">
        <w:t>pkt 1</w:t>
      </w:r>
      <w:r w:rsidR="00CE112A">
        <w:rPr>
          <w:lang w:val="pl-PL"/>
        </w:rPr>
        <w:t>8</w:t>
      </w:r>
      <w:r w:rsidR="00B51D96" w:rsidRPr="00CE112A">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lastRenderedPageBreak/>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930133">
      <w:pPr>
        <w:pStyle w:val="Nagwek1"/>
      </w:pPr>
      <w:bookmarkStart w:id="55" w:name="_Toc258314256"/>
      <w:r w:rsidRPr="00772DC8">
        <w:t>UDZIELENIE ZAMÓWIENIA</w:t>
      </w:r>
      <w:bookmarkEnd w:id="5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985970" w:rsidRPr="00985970">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w:t>
      </w:r>
      <w:r>
        <w:lastRenderedPageBreak/>
        <w:t>że zachodzą przesłanki unieważnienia postępowania, o których mowa w art. 93 ust. 1 ustawy</w:t>
      </w:r>
      <w:r w:rsidR="00335C23">
        <w:t xml:space="preserve"> Pzp</w:t>
      </w:r>
      <w:r>
        <w:t>.</w:t>
      </w:r>
    </w:p>
    <w:p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6"/>
    </w:p>
    <w:p w:rsidR="00603291" w:rsidRDefault="00335C23" w:rsidP="00335C23">
      <w:pPr>
        <w:pStyle w:val="Nagwek2"/>
      </w:pPr>
      <w:r w:rsidRPr="00335C23">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85970">
        <w:t xml:space="preserve">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930133">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EB7871" w:rsidRPr="003209A8" w:rsidRDefault="00985970"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5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985970" w:rsidRPr="0024673F" w:rsidRDefault="00985970" w:rsidP="00985970">
      <w:pPr>
        <w:pStyle w:val="Nagwek2"/>
      </w:pPr>
      <w:r w:rsidRPr="00665EF9">
        <w:t>Zamawiający dopuszcza możliwość zmian umowy w następującym zakresie i na określonych poniżej warunkach:</w:t>
      </w:r>
    </w:p>
    <w:p w:rsidR="00EB7871" w:rsidRPr="003209A8" w:rsidRDefault="00985970" w:rsidP="00A43AEE">
      <w:pPr>
        <w:pStyle w:val="Nagwek2"/>
        <w:numPr>
          <w:ilvl w:val="0"/>
          <w:numId w:val="0"/>
        </w:numPr>
        <w:ind w:left="680"/>
      </w:pPr>
      <w:r w:rsidRPr="00985970">
        <w:t>Jeżeli w toku realizacji umowy okaże się, że dostarczony towar nie spełnia wymogów określonych przez Zamawiającego w rozdziale 3 SIWZ, pomimo, że Wykonawca złożył w ofercie specyfikację potwierdzającą spełnianie tych wymogów, możliwa będzie zmiana umowy polegająca na zmianie zaoferowanego towaru na towar zgodny z opisem przedmiotu zamówienia określonym przez Zamawiającego w rozdziale 3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5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5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r w:rsidR="00A13AE0">
        <w:t>t.j.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CE112A" w:rsidRDefault="00603291" w:rsidP="00A43AEE">
      <w:pPr>
        <w:pStyle w:val="Nagwek2"/>
      </w:pPr>
      <w:r w:rsidRPr="00CE112A">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CE112A" w:rsidRDefault="00CE112A" w:rsidP="00CE112A">
      <w:pPr>
        <w:pStyle w:val="Nagwek2"/>
        <w:numPr>
          <w:ilvl w:val="1"/>
          <w:numId w:val="21"/>
        </w:numPr>
      </w:pPr>
      <w:r w:rsidRPr="00CE112A">
        <w:t xml:space="preserve"> </w:t>
      </w:r>
      <w:r>
        <w:t>Informacja o przetwarzaniu danych osobowych:</w:t>
      </w:r>
    </w:p>
    <w:p w:rsidR="00CE112A" w:rsidRDefault="00CE112A" w:rsidP="00CE112A">
      <w:pPr>
        <w:pStyle w:val="Nagwek2"/>
        <w:numPr>
          <w:ilvl w:val="1"/>
          <w:numId w:val="21"/>
        </w:numPr>
      </w:pPr>
      <w: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CE112A" w:rsidRDefault="00CE112A" w:rsidP="00CE112A">
      <w:pPr>
        <w:pStyle w:val="Nagwek2"/>
        <w:numPr>
          <w:ilvl w:val="1"/>
          <w:numId w:val="21"/>
        </w:numPr>
      </w:pPr>
      <w:r>
        <w:t xml:space="preserve">w celu prowadzenia postępowania o udzielenie zamówienia publicznego  prowadzonego w trybie przetarg nieograniczony, przetwarzane będą dane osobowe na podstawie art. 6 ust. 1 lit. c RODO;  </w:t>
      </w:r>
    </w:p>
    <w:p w:rsidR="00CE112A" w:rsidRDefault="00CE112A" w:rsidP="00CE112A">
      <w:pPr>
        <w:pStyle w:val="Nagwek2"/>
        <w:numPr>
          <w:ilvl w:val="1"/>
          <w:numId w:val="21"/>
        </w:numPr>
      </w:pPr>
      <w:r>
        <w:t>Administratorem Pani/Pana danych osobowych jest:</w:t>
      </w:r>
    </w:p>
    <w:p w:rsidR="00CE112A" w:rsidRDefault="00CE112A" w:rsidP="00CE112A">
      <w:pPr>
        <w:pStyle w:val="Nagwek2"/>
        <w:numPr>
          <w:ilvl w:val="1"/>
          <w:numId w:val="21"/>
        </w:numPr>
      </w:pPr>
      <w:r>
        <w:t>Politechnika Częstochowska</w:t>
      </w:r>
    </w:p>
    <w:p w:rsidR="00CE112A" w:rsidRDefault="00CE112A" w:rsidP="00CE112A">
      <w:pPr>
        <w:pStyle w:val="Nagwek2"/>
        <w:numPr>
          <w:ilvl w:val="1"/>
          <w:numId w:val="21"/>
        </w:numPr>
      </w:pPr>
      <w:r>
        <w:lastRenderedPageBreak/>
        <w:t>Ul. Dąbrowskiego 69,  42-201 Częstochowa</w:t>
      </w:r>
    </w:p>
    <w:p w:rsidR="00CE112A" w:rsidRDefault="00CE112A" w:rsidP="00CE112A">
      <w:pPr>
        <w:pStyle w:val="Nagwek2"/>
        <w:numPr>
          <w:ilvl w:val="1"/>
          <w:numId w:val="21"/>
        </w:numPr>
      </w:pPr>
      <w: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CE112A" w:rsidRDefault="00CE112A" w:rsidP="00CE112A">
      <w:pPr>
        <w:pStyle w:val="Nagwek2"/>
        <w:numPr>
          <w:ilvl w:val="1"/>
          <w:numId w:val="21"/>
        </w:numPr>
      </w:pPr>
      <w:r>
        <w:t>odbiorcami Pani/Pana danych osobowych będą osoby lub podmioty, którym udostępniona zostanie dokumentacja postępowania w oparciu o art. 8 oraz art. 96 ust. 3 ustawy Pzp;</w:t>
      </w:r>
    </w:p>
    <w:p w:rsidR="00CE112A" w:rsidRDefault="00CE112A" w:rsidP="00CE112A">
      <w:pPr>
        <w:pStyle w:val="Nagwek2"/>
        <w:numPr>
          <w:ilvl w:val="1"/>
          <w:numId w:val="21"/>
        </w:numPr>
      </w:pPr>
      <w:r>
        <w:t>Pani/Pana dane osobowe będą przechowywane, zgodnie z art. 97 ust. 1 ustawy Pzp,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CE112A" w:rsidRDefault="00CE112A" w:rsidP="00CE112A">
      <w:pPr>
        <w:pStyle w:val="Nagwek2"/>
        <w:numPr>
          <w:ilvl w:val="1"/>
          <w:numId w:val="21"/>
        </w:numPr>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E112A" w:rsidRDefault="00CE112A" w:rsidP="00CE112A">
      <w:pPr>
        <w:pStyle w:val="Nagwek2"/>
        <w:numPr>
          <w:ilvl w:val="1"/>
          <w:numId w:val="21"/>
        </w:numPr>
      </w:pPr>
      <w:r>
        <w:t>w odniesieniu do Pani/Pana danych osobowych decyzje nie będą podejmowane w sposób zautomatyzowany, stosowanie do art. 22 RODO;</w:t>
      </w:r>
    </w:p>
    <w:p w:rsidR="00CE112A" w:rsidRDefault="00CE112A" w:rsidP="00CE112A">
      <w:pPr>
        <w:pStyle w:val="Nagwek2"/>
        <w:numPr>
          <w:ilvl w:val="1"/>
          <w:numId w:val="21"/>
        </w:numPr>
      </w:pPr>
      <w:r>
        <w:t>posiada Pani/Pan:</w:t>
      </w:r>
    </w:p>
    <w:p w:rsidR="00CE112A" w:rsidRDefault="00CE112A" w:rsidP="00CE112A">
      <w:pPr>
        <w:pStyle w:val="Nagwek2"/>
        <w:numPr>
          <w:ilvl w:val="1"/>
          <w:numId w:val="21"/>
        </w:numPr>
      </w:pPr>
      <w:r>
        <w:t>na podstawie art. 15 RODO prawo dostępu do danych osobowych Pani/Pana dotyczących;</w:t>
      </w:r>
    </w:p>
    <w:p w:rsidR="00CE112A" w:rsidRDefault="00CE112A" w:rsidP="00CE112A">
      <w:pPr>
        <w:pStyle w:val="Nagwek2"/>
        <w:numPr>
          <w:ilvl w:val="1"/>
          <w:numId w:val="21"/>
        </w:numPr>
      </w:pPr>
      <w: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E112A" w:rsidRDefault="00CE112A" w:rsidP="00CE112A">
      <w:pPr>
        <w:pStyle w:val="Nagwek2"/>
        <w:numPr>
          <w:ilvl w:val="1"/>
          <w:numId w:val="21"/>
        </w:numPr>
      </w:pPr>
      <w: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E112A" w:rsidRDefault="00CE112A" w:rsidP="00CE112A">
      <w:pPr>
        <w:pStyle w:val="Nagwek2"/>
        <w:numPr>
          <w:ilvl w:val="1"/>
          <w:numId w:val="21"/>
        </w:numPr>
      </w:pPr>
      <w:r>
        <w:t>prawo do wniesienia skargi do Prezesa Urzędu Ochrony Danych Osobowych, gdy uzna Pani/Pan, że przetwarzanie danych osobowych Pani/Pana dotyczących narusza przepisy RODO;</w:t>
      </w:r>
    </w:p>
    <w:p w:rsidR="00CE112A" w:rsidRDefault="00CE112A" w:rsidP="00CE112A">
      <w:pPr>
        <w:pStyle w:val="Nagwek2"/>
        <w:numPr>
          <w:ilvl w:val="1"/>
          <w:numId w:val="21"/>
        </w:numPr>
      </w:pPr>
      <w:r>
        <w:t>nie przysługuje Pani/Panu:</w:t>
      </w:r>
    </w:p>
    <w:p w:rsidR="00CE112A" w:rsidRDefault="00CE112A" w:rsidP="00CE112A">
      <w:pPr>
        <w:pStyle w:val="Nagwek2"/>
        <w:numPr>
          <w:ilvl w:val="1"/>
          <w:numId w:val="21"/>
        </w:numPr>
      </w:pPr>
      <w:r>
        <w:t>w związku z art. 17 ust. 3 lit. b, d ,e RODO prawo do usunięcia danych osobowych;</w:t>
      </w:r>
    </w:p>
    <w:p w:rsidR="00CE112A" w:rsidRDefault="00CE112A" w:rsidP="00CE112A">
      <w:pPr>
        <w:pStyle w:val="Nagwek2"/>
        <w:numPr>
          <w:ilvl w:val="1"/>
          <w:numId w:val="21"/>
        </w:numPr>
      </w:pPr>
      <w:r>
        <w:t>prawo do przenoszenia danych osobowych, o którym mowa w art. 20 RODO;</w:t>
      </w:r>
    </w:p>
    <w:p w:rsidR="00CE112A" w:rsidRDefault="00CE112A" w:rsidP="00CE112A">
      <w:pPr>
        <w:pStyle w:val="Nagwek2"/>
        <w:numPr>
          <w:ilvl w:val="1"/>
          <w:numId w:val="21"/>
        </w:numPr>
      </w:pPr>
      <w:r>
        <w:t>- na podstawie art. 21 RODO prawo sprzeciwu, wobec przetwarzania danych osobowych, gdyż podstawą prawną przetwarzania Pani/Pana danych osobowych jest art. 6 ust. 1 lit. c RODO.</w:t>
      </w:r>
    </w:p>
    <w:p w:rsidR="00CE112A" w:rsidRDefault="00CE112A" w:rsidP="00CE112A">
      <w:pPr>
        <w:pStyle w:val="Nagwek2"/>
        <w:numPr>
          <w:ilvl w:val="1"/>
          <w:numId w:val="21"/>
        </w:numPr>
      </w:pPr>
      <w:r>
        <w:lastRenderedPageBreak/>
        <w:t>Do spraw nieuregulowanych w niniejszej SIWZ mają zastosowanie przepisy ustawy z dnia 29 stycznia 2004 roku Prawo zamówień publicznych (t.j. Dz.U. z 2019 r. poz. 1843) oraz przepisy Kodeksu cywilnego.</w:t>
      </w:r>
    </w:p>
    <w:p w:rsidR="00CE112A" w:rsidRDefault="00CE112A" w:rsidP="00CE112A">
      <w:pPr>
        <w:pStyle w:val="Nagwek2"/>
        <w:numPr>
          <w:ilvl w:val="0"/>
          <w:numId w:val="0"/>
        </w:numPr>
        <w:tabs>
          <w:tab w:val="left" w:pos="708"/>
        </w:tabs>
        <w:ind w:left="680"/>
      </w:pP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85970" w:rsidRPr="006672A6" w:rsidTr="008C4D39">
        <w:tc>
          <w:tcPr>
            <w:tcW w:w="828" w:type="dxa"/>
          </w:tcPr>
          <w:p w:rsidR="00985970" w:rsidRPr="006672A6" w:rsidRDefault="00985970" w:rsidP="008C4D39">
            <w:pPr>
              <w:spacing w:before="60" w:after="120"/>
              <w:jc w:val="both"/>
              <w:rPr>
                <w:b/>
              </w:rPr>
            </w:pPr>
            <w:r w:rsidRPr="00985970">
              <w:t>1</w:t>
            </w:r>
          </w:p>
        </w:tc>
        <w:tc>
          <w:tcPr>
            <w:tcW w:w="8636" w:type="dxa"/>
          </w:tcPr>
          <w:p w:rsidR="00985970" w:rsidRPr="006672A6" w:rsidRDefault="00985970" w:rsidP="008C4D39">
            <w:pPr>
              <w:spacing w:before="60" w:after="120"/>
              <w:jc w:val="both"/>
              <w:rPr>
                <w:b/>
              </w:rPr>
            </w:pPr>
            <w:r w:rsidRPr="00985970">
              <w:t>Oświadczenia wykonawcy o przynależności albo braku przynależności do tej samej grupy kapitałowej.</w:t>
            </w:r>
          </w:p>
        </w:tc>
      </w:tr>
      <w:tr w:rsidR="00985970" w:rsidRPr="006672A6" w:rsidTr="008C4D39">
        <w:tc>
          <w:tcPr>
            <w:tcW w:w="828" w:type="dxa"/>
          </w:tcPr>
          <w:p w:rsidR="00985970" w:rsidRPr="006672A6" w:rsidRDefault="00985970" w:rsidP="008C4D39">
            <w:pPr>
              <w:spacing w:before="60" w:after="120"/>
              <w:jc w:val="both"/>
              <w:rPr>
                <w:b/>
              </w:rPr>
            </w:pPr>
            <w:r w:rsidRPr="00985970">
              <w:t>2</w:t>
            </w:r>
          </w:p>
        </w:tc>
        <w:tc>
          <w:tcPr>
            <w:tcW w:w="8636" w:type="dxa"/>
          </w:tcPr>
          <w:p w:rsidR="00985970" w:rsidRPr="006672A6" w:rsidRDefault="00985970" w:rsidP="00CE112A">
            <w:pPr>
              <w:spacing w:before="60" w:after="120"/>
              <w:jc w:val="both"/>
              <w:rPr>
                <w:b/>
              </w:rPr>
            </w:pPr>
            <w:r w:rsidRPr="00985970">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85970" w:rsidRPr="006672A6" w:rsidTr="008C4D39">
        <w:tc>
          <w:tcPr>
            <w:tcW w:w="828" w:type="dxa"/>
          </w:tcPr>
          <w:p w:rsidR="00985970" w:rsidRPr="006672A6" w:rsidRDefault="00985970" w:rsidP="008C4D39">
            <w:pPr>
              <w:spacing w:before="60" w:after="120"/>
              <w:jc w:val="both"/>
              <w:rPr>
                <w:b/>
              </w:rPr>
            </w:pPr>
            <w:r w:rsidRPr="00985970">
              <w:t>2</w:t>
            </w:r>
          </w:p>
        </w:tc>
        <w:tc>
          <w:tcPr>
            <w:tcW w:w="8636" w:type="dxa"/>
          </w:tcPr>
          <w:p w:rsidR="00985970" w:rsidRPr="006672A6" w:rsidRDefault="00985970" w:rsidP="008C4D39">
            <w:pPr>
              <w:spacing w:before="60" w:after="120"/>
              <w:jc w:val="both"/>
              <w:rPr>
                <w:b/>
              </w:rPr>
            </w:pPr>
            <w:r w:rsidRPr="00985970">
              <w:t>Wzór umowy na dostawy</w:t>
            </w:r>
          </w:p>
        </w:tc>
      </w:tr>
      <w:tr w:rsidR="00985970" w:rsidRPr="006672A6" w:rsidTr="008C4D39">
        <w:tc>
          <w:tcPr>
            <w:tcW w:w="828" w:type="dxa"/>
          </w:tcPr>
          <w:p w:rsidR="00985970" w:rsidRPr="006672A6" w:rsidRDefault="00985970" w:rsidP="008C4D39">
            <w:pPr>
              <w:spacing w:before="60" w:after="120"/>
              <w:jc w:val="both"/>
              <w:rPr>
                <w:b/>
              </w:rPr>
            </w:pPr>
            <w:r w:rsidRPr="00985970">
              <w:t>3</w:t>
            </w:r>
          </w:p>
        </w:tc>
        <w:tc>
          <w:tcPr>
            <w:tcW w:w="8636" w:type="dxa"/>
          </w:tcPr>
          <w:p w:rsidR="00985970" w:rsidRPr="006672A6" w:rsidRDefault="00985970" w:rsidP="008C4D39">
            <w:pPr>
              <w:spacing w:before="60" w:after="120"/>
              <w:jc w:val="both"/>
              <w:rPr>
                <w:b/>
              </w:rPr>
            </w:pPr>
            <w:r w:rsidRPr="00985970">
              <w:t>Załącznik do SIWZ(wzór).doc</w:t>
            </w:r>
          </w:p>
        </w:tc>
      </w:tr>
      <w:tr w:rsidR="00985970" w:rsidRPr="006672A6" w:rsidTr="008C4D39">
        <w:tc>
          <w:tcPr>
            <w:tcW w:w="828" w:type="dxa"/>
          </w:tcPr>
          <w:p w:rsidR="00985970" w:rsidRPr="006672A6" w:rsidRDefault="00985970" w:rsidP="008C4D39">
            <w:pPr>
              <w:spacing w:before="60" w:after="120"/>
              <w:jc w:val="both"/>
              <w:rPr>
                <w:b/>
              </w:rPr>
            </w:pPr>
            <w:r w:rsidRPr="00985970">
              <w:t>4</w:t>
            </w:r>
          </w:p>
        </w:tc>
        <w:tc>
          <w:tcPr>
            <w:tcW w:w="8636" w:type="dxa"/>
          </w:tcPr>
          <w:p w:rsidR="00985970" w:rsidRPr="006672A6" w:rsidRDefault="00985970" w:rsidP="008C4D39">
            <w:pPr>
              <w:spacing w:before="60" w:after="120"/>
              <w:jc w:val="both"/>
              <w:rPr>
                <w:b/>
              </w:rPr>
            </w:pPr>
            <w:r w:rsidRPr="00985970">
              <w:t>Wzór oferty na dostawy</w:t>
            </w:r>
          </w:p>
        </w:tc>
      </w:tr>
    </w:tbl>
    <w:p w:rsidR="00EB7871" w:rsidRPr="003209A8" w:rsidRDefault="00EB7871" w:rsidP="0093013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8E" w:rsidRDefault="00E8488E">
      <w:r>
        <w:separator/>
      </w:r>
    </w:p>
  </w:endnote>
  <w:endnote w:type="continuationSeparator" w:id="0">
    <w:p w:rsidR="00E8488E" w:rsidRDefault="00E8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70" w:rsidRDefault="009859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7F22F4">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F22F4">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F22F4">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70" w:rsidRDefault="009859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8E" w:rsidRDefault="00E8488E">
      <w:r>
        <w:separator/>
      </w:r>
    </w:p>
  </w:footnote>
  <w:footnote w:type="continuationSeparator" w:id="0">
    <w:p w:rsidR="00E8488E" w:rsidRDefault="00E8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70" w:rsidRDefault="009859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985970">
    <w:pPr>
      <w:pStyle w:val="Nagwek"/>
      <w:jc w:val="center"/>
      <w:rPr>
        <w:sz w:val="18"/>
        <w:szCs w:val="18"/>
      </w:rPr>
    </w:pPr>
    <w:r>
      <w:rPr>
        <w:sz w:val="18"/>
        <w:szCs w:val="18"/>
      </w:rPr>
      <w:t>Dostawa analizatora do badań zawartości wodoru  dla  Wydziału Infrastruktury i Środowiska  Politechniki Częstochowskiej</w:t>
    </w:r>
  </w:p>
  <w:p w:rsidR="00D35830" w:rsidRDefault="007F22F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70" w:rsidRDefault="009859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D98"/>
    <w:multiLevelType w:val="hybridMultilevel"/>
    <w:tmpl w:val="2048F5A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E865AE3"/>
    <w:multiLevelType w:val="multilevel"/>
    <w:tmpl w:val="E528F23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A4809FB"/>
    <w:multiLevelType w:val="hybridMultilevel"/>
    <w:tmpl w:val="23BAF2F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CDA05CE"/>
    <w:multiLevelType w:val="hybridMultilevel"/>
    <w:tmpl w:val="288E470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9"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3"/>
  </w:num>
  <w:num w:numId="2">
    <w:abstractNumId w:val="16"/>
  </w:num>
  <w:num w:numId="3">
    <w:abstractNumId w:val="26"/>
  </w:num>
  <w:num w:numId="4">
    <w:abstractNumId w:val="19"/>
  </w:num>
  <w:num w:numId="5">
    <w:abstractNumId w:val="12"/>
  </w:num>
  <w:num w:numId="6">
    <w:abstractNumId w:val="8"/>
  </w:num>
  <w:num w:numId="7">
    <w:abstractNumId w:val="11"/>
  </w:num>
  <w:num w:numId="8">
    <w:abstractNumId w:val="33"/>
  </w:num>
  <w:num w:numId="9">
    <w:abstractNumId w:val="7"/>
  </w:num>
  <w:num w:numId="10">
    <w:abstractNumId w:val="27"/>
  </w:num>
  <w:num w:numId="11">
    <w:abstractNumId w:val="4"/>
  </w:num>
  <w:num w:numId="12">
    <w:abstractNumId w:val="30"/>
  </w:num>
  <w:num w:numId="13">
    <w:abstractNumId w:val="31"/>
  </w:num>
  <w:num w:numId="14">
    <w:abstractNumId w:val="32"/>
  </w:num>
  <w:num w:numId="15">
    <w:abstractNumId w:val="2"/>
  </w:num>
  <w:num w:numId="16">
    <w:abstractNumId w:val="24"/>
  </w:num>
  <w:num w:numId="17">
    <w:abstractNumId w:val="20"/>
  </w:num>
  <w:num w:numId="18">
    <w:abstractNumId w:val="1"/>
  </w:num>
  <w:num w:numId="19">
    <w:abstractNumId w:val="29"/>
  </w:num>
  <w:num w:numId="20">
    <w:abstractNumId w:val="15"/>
  </w:num>
  <w:num w:numId="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5"/>
  </w:num>
  <w:num w:numId="25">
    <w:abstractNumId w:val="9"/>
  </w:num>
  <w:num w:numId="26">
    <w:abstractNumId w:val="17"/>
  </w:num>
  <w:num w:numId="27">
    <w:abstractNumId w:val="34"/>
  </w:num>
  <w:num w:numId="28">
    <w:abstractNumId w:val="5"/>
  </w:num>
  <w:num w:numId="29">
    <w:abstractNumId w:val="21"/>
  </w:num>
  <w:num w:numId="30">
    <w:abstractNumId w:val="10"/>
  </w:num>
  <w:num w:numId="3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num>
  <w:num w:numId="34">
    <w:abstractNumId w:val="23"/>
  </w:num>
  <w:num w:numId="35">
    <w:abstractNumId w:val="18"/>
  </w:num>
  <w:num w:numId="36">
    <w:abstractNumId w:val="3"/>
  </w:num>
  <w:num w:numId="37">
    <w:abstractNumId w:val="28"/>
  </w:num>
  <w:num w:numId="38">
    <w:abstractNumId w:val="39"/>
  </w:num>
  <w:num w:numId="39">
    <w:abstractNumId w:val="36"/>
  </w:num>
  <w:num w:numId="40">
    <w:abstractNumId w:val="0"/>
  </w:num>
  <w:num w:numId="41">
    <w:abstractNumId w:val="3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88E"/>
    <w:rsid w:val="000012FC"/>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5720"/>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92711"/>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22F4"/>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5970"/>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34E0F"/>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12A"/>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488E"/>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485792"/>
  <w15:chartTrackingRefBased/>
  <w15:docId w15:val="{C1EE1B0E-9B2B-41E4-B4E1-C46C50D2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7839">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0395426">
      <w:bodyDiv w:val="1"/>
      <w:marLeft w:val="0"/>
      <w:marRight w:val="0"/>
      <w:marTop w:val="0"/>
      <w:marBottom w:val="0"/>
      <w:divBdr>
        <w:top w:val="none" w:sz="0" w:space="0" w:color="auto"/>
        <w:left w:val="none" w:sz="0" w:space="0" w:color="auto"/>
        <w:bottom w:val="none" w:sz="0" w:space="0" w:color="auto"/>
        <w:right w:val="none" w:sz="0" w:space="0" w:color="auto"/>
      </w:divBdr>
    </w:div>
    <w:div w:id="515660921">
      <w:bodyDiv w:val="1"/>
      <w:marLeft w:val="0"/>
      <w:marRight w:val="0"/>
      <w:marTop w:val="0"/>
      <w:marBottom w:val="0"/>
      <w:divBdr>
        <w:top w:val="none" w:sz="0" w:space="0" w:color="auto"/>
        <w:left w:val="none" w:sz="0" w:space="0" w:color="auto"/>
        <w:bottom w:val="none" w:sz="0" w:space="0" w:color="auto"/>
        <w:right w:val="none" w:sz="0" w:space="0" w:color="auto"/>
      </w:divBdr>
    </w:div>
    <w:div w:id="60288383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0074035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39594339">
      <w:bodyDiv w:val="1"/>
      <w:marLeft w:val="0"/>
      <w:marRight w:val="0"/>
      <w:marTop w:val="0"/>
      <w:marBottom w:val="0"/>
      <w:divBdr>
        <w:top w:val="none" w:sz="0" w:space="0" w:color="auto"/>
        <w:left w:val="none" w:sz="0" w:space="0" w:color="auto"/>
        <w:bottom w:val="none" w:sz="0" w:space="0" w:color="auto"/>
        <w:right w:val="none" w:sz="0" w:space="0" w:color="auto"/>
      </w:divBdr>
    </w:div>
    <w:div w:id="1450853660">
      <w:bodyDiv w:val="1"/>
      <w:marLeft w:val="0"/>
      <w:marRight w:val="0"/>
      <w:marTop w:val="0"/>
      <w:marBottom w:val="0"/>
      <w:divBdr>
        <w:top w:val="none" w:sz="0" w:space="0" w:color="auto"/>
        <w:left w:val="none" w:sz="0" w:space="0" w:color="auto"/>
        <w:bottom w:val="none" w:sz="0" w:space="0" w:color="auto"/>
        <w:right w:val="none" w:sz="0" w:space="0" w:color="auto"/>
      </w:divBdr>
    </w:div>
    <w:div w:id="1846359570">
      <w:bodyDiv w:val="1"/>
      <w:marLeft w:val="0"/>
      <w:marRight w:val="0"/>
      <w:marTop w:val="0"/>
      <w:marBottom w:val="0"/>
      <w:divBdr>
        <w:top w:val="none" w:sz="0" w:space="0" w:color="auto"/>
        <w:left w:val="none" w:sz="0" w:space="0" w:color="auto"/>
        <w:bottom w:val="none" w:sz="0" w:space="0" w:color="auto"/>
        <w:right w:val="none" w:sz="0" w:space="0" w:color="auto"/>
      </w:divBdr>
    </w:div>
    <w:div w:id="21469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5602</Words>
  <Characters>35076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40597</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2020-09-02T07:29:00Z</cp:lastPrinted>
  <dcterms:created xsi:type="dcterms:W3CDTF">2020-09-02T07:29:00Z</dcterms:created>
  <dcterms:modified xsi:type="dcterms:W3CDTF">2020-09-02T07:29:00Z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