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0322" w:rsidRPr="00520322" w:rsidRDefault="00520322" w:rsidP="00520322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520322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520322" w:rsidRDefault="00520322" w:rsidP="00520322">
      <w:pPr>
        <w:spacing w:after="24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Kraków dnia 28 sierpnia 2020 r.</w:t>
      </w:r>
    </w:p>
    <w:p w:rsidR="00520322" w:rsidRPr="00520322" w:rsidRDefault="00520322" w:rsidP="00520322">
      <w:pPr>
        <w:spacing w:after="24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bookmarkStart w:id="0" w:name="_GoBack"/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nr 578468-N-2020 z dnia 2020-08-28 r.</w:t>
      </w:r>
    </w:p>
    <w:bookmarkEnd w:id="0"/>
    <w:p w:rsidR="00520322" w:rsidRPr="00520322" w:rsidRDefault="00520322" w:rsidP="005203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Szpital Specjalistyczny im. Stefana Żeromskiego Samodzielny Publiczny Zakład Opieki Zdrowotnej w Krakowie: Dostawa opatrunków specjalistycznych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Szpital Specjalistyczny im. Stefana Żeromskiego Samodzielny Publiczny Zakład Opieki Zdrowotnej w Krakowie, krajowy numer identyfikacyjny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63016100000000, ul. os. Na Skarpie  66 , 31-913  Kraków, woj. małopolskie, państwo Polska, tel. (012) 6441956, , e-mail zpubl@zeromski-szpital.pl, , faks (012) 6444756.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www.zeromski-szpital.pl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www.zeromski-szpital.pl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https://e-propublico.pl/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Samodzielny Publiczny Zakład Opieki Zdrowotnej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520322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www.bip.krakow.pl/?bip_id=40&amp;mmi=10567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http://www.bip.krakow.pl/?bip_id=40&amp;mmi=10567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https://e-propublico.pl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na adres wskazany poniżej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Szpital Specjalistyczny im. Stefana Żeromskiego SPZOZ w Krakowie os. Na Skarpie 66 31-913 Kraków Polska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https://e-propublico.pl/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opatrunków specjalistycznych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ZP/20/2020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520322" w:rsidRPr="00520322" w:rsidRDefault="00520322" w:rsidP="005203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52032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opatrunków specjalistycznych, , wodnego roztworu, oraz sprayu do usuwania plastrów zgodnie z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załacznikiem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SIWZ.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33141110-4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52032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(w przypadku umów ramowych lub dynamicznego systemu zakupów – szacunkowa całkowita </w:t>
      </w:r>
      <w:r w:rsidRPr="0052032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>maksymalna wartość w całym okresie obowiązywania umowy ramowej lub dynamicznego systemu zakupów)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52032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52032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ustala szczegółowego warunku udziału w postępowaniu..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ustala szczegółowego warunku udziału w postępowaniu.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ustala szczegółowego warunku udziału w postępowaniu.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Kopie dokumentów potwierdzaj</w:t>
      </w:r>
      <w:r w:rsidR="00DA443B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cych skuteczność wyrobów badaniami klinicznymi - grupa 4 poz. 1 i poz</w:t>
      </w:r>
      <w:r w:rsidR="00DA443B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 oraz Kopie dokumentów potwierdzaj</w:t>
      </w:r>
      <w:r w:rsidR="00DA443B">
        <w:rPr>
          <w:rFonts w:ascii="Times New Roman" w:eastAsia="Times New Roman" w:hAnsi="Times New Roman" w:cs="Times New Roman"/>
          <w:sz w:val="24"/>
          <w:szCs w:val="24"/>
          <w:lang w:eastAsia="pl-PL"/>
        </w:rPr>
        <w:t>ą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cych skuteczność wyrobów badaniami klinicznymi in vitro lub in vivo - grupa 6 poz. 1 i poz. 2 Oświadczenie Wykonawcy o dopuszczeniu do obrotu oferowanych wyrobów medycznych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Jeżeli Wykonawca ma siedzibę lub miejsce zamieszkania poza terytorium Rzeczypospolitej składa informację z odpowiedniego rejestru albo, w przypadku braku takiego rejestru, inny równoważny dokument wydany przez właściwy organ sądowy lub administracyjny kraju, w którym wykonawca ma siedzibę lub miejsce zamieszkania lub miejsce zamieszkania ma osoba, której dotyczy informacja albo dokument, w zakresie określonym w art. 24 ust. 1 pkt 13, 14 i 21 ustawy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wystawiony nie wcześniej niż 6 miesięcy przed upływem terminu składania ofert albo wniosków o dopuszczenie do udziału w postępowaniu. Jeżeli Wykonawca ma siedzibę lub miejsce zamieszkania poza terytorium Rzeczypospolitej składa dokument lub dokumenty wystawione w kraju, w którym wykonawca ma siedzibę lub miejsce zamieszkania, potwierdzające, że nie otwarto jego likwidacji ani nie ogłoszono upadłości, wystawione nie wcześniej niż 6 miesięcy przed upływem terminu składania ofert albo wniosków o dopuszczenie do udziału w postępowaniu. Oświadczenie wykonawcy o przynależności albo braku przynależności do tej samej grupy kapitałowej, o której mowa w art. 24 ust. 1 pkt 23 ustawy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składane w terminie 3 dni od dnia zamieszczenia na stronie internetowej informacji z otwarcia ofert.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0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0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Przewidziane jest przeprowadzenie aukcji elektronicznej </w:t>
      </w:r>
      <w:r w:rsidRPr="0052032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Wstępny harmonogram postępowania: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dopuszcza możliwość zmian umowy na zasadach określonych w projekcie umowy stanowiącym załącznik do SIWZ. 1. zmniejszenie ilości zamawianego towaru w stosunku od ilości wynikającej z treści oferty - Warunkiem wprowadzenia zmiany jest sytuacja, gdy z przyczyn niezależnych od Zamawiającego wykupienie pełnej ilości towaru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byłoby niecelowe. 2. zmiana stawki podatku VAT- Warunkiem wprowadzenia zmiany jest sytuacja, gdy w trakcie trwania umowy zmieniła się stawka podatku VAT, której nie można było przewidzieć przed zawarciem umowy 3. zmiany terminu wykonania (realizacji) umowy - Warunkiem wprowadzenia zmiany jest sytuacja gdy w przypadku nie wykupienia pełnej ilości towaru określonego w umowie, umowa może zostać przedłużona do czasu wykupienia pełnej ilości. 4. zmiana ceny jednostkowej - Warunkiem wprowadzenia zmiany jest sytuacja gdy na wskutek obniżki ceny wprowadzonej przez wykonawcę w trakcie trwania umowy, innej niż wynikająca ze zmiany stawki podatku VAT 5. zmiany ceny urzędowej - Warunkiem wprowadzenia zmiany jest sytuacja gdy nastąpiła zmiana ceny urzędowej, której nie można było przewidzieć przed zawarciem umowy 6. zmiany terminów dostawy materiałów - Warunkiem wprowadzenia zmiany jest sytuacja gdy wystąpiły trudności organizacyjne po stronie Zamawiającego 7. zmiany asortymentu - Warunkiem wprowadzenia zmiany jest sytuacja gdy nastąpiło zakończenia produkcji lub wycofania z rynku materiałów, lub wprowadzenia do obrotu materiałów o lepszych parametrach, 8. zmiany wynagrodzenia w przypadku zmiany wysokości minimalnego wynagrodzenia za pracę oraz zasad podlegania ubezpieczeniom społecznym lub ubezpieczeniu zdrowotnemu lub wysokości stawki składki na ubezpieczenia społeczne lub zdrowotne - Warunkiem wprowadzenia zmiany jest wykazanie wpływu zmian na wzrost wynagrodzenia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52032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2020-09-08, godzina: 09:30,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0322" w:rsidRPr="00520322" w:rsidRDefault="00520322" w:rsidP="0052032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3488"/>
      </w:tblGrid>
      <w:tr w:rsidR="00520322" w:rsidRPr="00520322" w:rsidTr="005203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Grupa 1 - opatrunki specjalistyczne</w:t>
            </w:r>
          </w:p>
        </w:tc>
      </w:tr>
    </w:tbl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52032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opatrunek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Hydroaktywny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opatrunek płucząco-absorpcyjny nasycony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roztworem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Ringera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zawierający antybakteryjną substancję PHMB, 72-godzinny, warstwa kontaktowa z paskami silikonu, zewnętrzna warstwa opatrunku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nieprzemakalna.rozmiar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7,7x7,5cm (+ - 0,5 cm) szt. 90 2 opatrunek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Hydroaktywny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opatrunek płucząco-absorpcyjny nasycony roztworem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Ringera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zawierający antybakteryjną substancję PHMB, 72-godzinny, warstwa kontaktowa z paskami silikonu, zewnętrzna warstwa opatrunku nieprzemakalna.10x10cm (+ - 0,5 cm) szt. 200 3 opatrunek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Hydroaktywny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opatrunek płucząco-absorpcyjny nasycony roztworem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Ringera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zawierający antybakteryjną substancję PHMB, 72-godzinny, obustronnie aktywny do oczyszczania ran głębokich, szczelinowych.7,5x7,5cm (+ - 0,5 cm) szt. 170 4 opatrunek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Hydroaktywny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opatrunek składający się z warstwy pianki poliuretanowej oraz warstwy hydrożelu, od strony zewnętrznej opatrunek pokryty membraną poliuretanową 10x10cm (+ - 0,5 cm) szt. 20 5 opatrunek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Hydroaktywny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opatrunek przylepny składający się z warstwy pianki poliuretanowej oraz warstwy hydrożelu, od strony zewnętrznej opatrunek pokryty membraną poliuretanową 12,5x12,5cm (+ - 0,5 cm) szt. 20 6 opatrunek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Hydroaktywny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opatrunek przylepny składający się z warstwy pianki poliuretanowej oraz warstwy hydrożelu, od strony zewnętrznej opatrunek pokryty membraną poliuretanową 15x15cm (+ - 0,5 cm) szt. 20 7 opatrunek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Opatrunek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siatkowy ze srebrem metalicznym, impregnowany neutralną maścią; 5x5cm (+ - 0,5 cm)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 8 opatrunek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Opatrunek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siatkowy ze srebrem metalicznym, impregnowany neutralną maścią;10x10cm (+ - 0,5 cm) szt. 150 9 opatrunek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Opatrunek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siatkowy ze srebrem metalicznym, impregnowany neutralną maścią;10x20cm (+ - 0,5 cm) szt. 20 10 żel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Amorficzny,przezroczysty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hydrożel do terapii wilgotnej ran chronicznych głębokich ,jak i powierzchniowych o małym wysięku we wszystkich fazach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gojenia.stosowany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również w przypadku oparzeń do stopnia 2b.15,0g jałowy dozownik w formie strzykawki.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33141110-4,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520322" w:rsidRPr="00520322" w:rsidTr="005203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520322" w:rsidRPr="00520322" w:rsidTr="005203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520322" w:rsidRPr="00520322" w:rsidRDefault="00520322" w:rsidP="0052032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3488"/>
      </w:tblGrid>
      <w:tr w:rsidR="00520322" w:rsidRPr="00520322" w:rsidTr="005203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Grupa 2 - opatrunki specjalistyczne</w:t>
            </w:r>
          </w:p>
        </w:tc>
      </w:tr>
    </w:tbl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52032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opatrunek Sterylny opatrunek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hydrokoloidowy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rany powierzchowne, elastyczny, z warstwą kontaktową składającą się z trzech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hydrokoloidów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zapewniających optymalne, wilgotne środowisko gojenia ran; samoprzylepny, wodoodporny; 10x10cm (+ - 0,5 cm) szt. 1040 2 opatrunek Sterylny opatrunek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hydrokoloidowy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rany powierzchowne,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elastyczny, z warstwą kontaktową składającą się z trzech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hydrokoloidów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zapewniających optymalne, wilgotne środowisko gojenia ran; samoprzylepny, wodoodporny; 15x15cm ( + - 0,5 cm) szt. 640 3 opatrunek Sterylny opatrunek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hydrokoloidowy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 rany powierzchowne, elastyczny, z warstwą kontaktową składającą się z trzech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hydrokoloidów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zapewniających optymalne, wilgotne środowisko gojenia ran; samoprzylepny, wodoodporny; 20x20cm (+ - 0,5 cm)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370 4 opatrunek Sterylny, przezroczysty żel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hydrokoloidowy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składający się w 80% z wody, 15% glikolu propylenowego, 5% pektyny i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karboksymetylocelulozy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sodowej. Tuba 15g.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szt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535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33141110-4,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520322" w:rsidRPr="00520322" w:rsidTr="005203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520322" w:rsidRPr="00520322" w:rsidTr="005203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520322" w:rsidRPr="00520322" w:rsidRDefault="00520322" w:rsidP="0052032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3488"/>
      </w:tblGrid>
      <w:tr w:rsidR="00520322" w:rsidRPr="00520322" w:rsidTr="005203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Grupa 3 - opatrunki specjalistyczne</w:t>
            </w:r>
          </w:p>
        </w:tc>
      </w:tr>
    </w:tbl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52032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opatrunek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Opatrunek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impregnowany solami srebra wykonany w technologii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lipidokoloidowej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10 cm x 12 cm (+/- 0,5 cm) opx10szt 8 2 opatrunek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Opatrunek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wykonany w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tehnologii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lipidokoloidowej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zbudowany z włókninowej wkładki wykonanej z włókien charakteryzujących się wysoką chłonnością, kohezyjnością i właściwościami hydro-oczyszczającymi. Matryca TLC impregnowana srebrem, 10 cm x 10 cm (+/- 0,5 cm) opx10szt 8 3 opatrunek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Opatrunek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zbudowany z włókninowej wkładki wykonanej z włókien charakteryzujących się wysoką chłonnością, kohezyjnością i właściwościami hydro-oczyszczającymi, 40 cm x 5 cm (+/- 0,5 cm) opx5szt 8 4 opatrunek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Opatrunek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wykonany w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tehnologii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lipidokoloidowej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zawierającej cząsteczki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nanooligosacharydów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zbudowany z włókninowej wkładki wykonanej z włókien charakteryzujących się wysoką chłonnością, kohezyjnością i właściwościami hydro-oczyszczającymi, 10 cm x 12 cm (+/- 0,5 cm) opx10szt 8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33141110-4,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4) Czas trwania lub termin wykonania: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Ind w:w="-8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97"/>
        <w:gridCol w:w="160"/>
        <w:gridCol w:w="856"/>
        <w:gridCol w:w="2470"/>
      </w:tblGrid>
      <w:tr w:rsidR="00520322" w:rsidRPr="00520322" w:rsidTr="00DA443B">
        <w:trPr>
          <w:gridAfter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520322" w:rsidRPr="00520322" w:rsidTr="00DA443B">
        <w:trPr>
          <w:gridAfter w:val="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  <w:tr w:rsidR="00520322" w:rsidRPr="00520322" w:rsidTr="00DA443B">
        <w:tblPrEx>
          <w:tblCellSpacing w:w="15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</w:tblPrEx>
        <w:trPr>
          <w:tblCellSpacing w:w="15" w:type="dxa"/>
        </w:trPr>
        <w:tc>
          <w:tcPr>
            <w:tcW w:w="0" w:type="auto"/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5203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6) INFORMACJE DODATKOWE:</w:t>
            </w: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5203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Grupa 4 - wodny </w:t>
            </w:r>
            <w:r w:rsidR="00DA443B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r</w:t>
            </w: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oztwór </w:t>
            </w:r>
          </w:p>
        </w:tc>
      </w:tr>
    </w:tbl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52032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Wodny roztwór ponadtlenkowy o naturalnym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pH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działaniu przeciwdrobnoustrojowym i przeciwzapalnym zawierającym w swoim składzie 40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ppm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kwasu podchlorawego i 40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ppm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podchlorynu sodu służący do płukania, odkażania i nawilżania ran ostrych i przewlekłych. Skuteczność potwierdzona badaniami klinicznymi. Poj. 500 ml. szt. 430 2 Wodny roztwór ponadtlenkowy o naturalnym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pH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 działaniu przeciwdrobnoustrojowym i przeciwzapalnym zawierającym w swoim składzie 40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ppm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kwasu podchlorawego i 40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ppm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podchlorynu sodu służący do płukania, odkażania i nawilżania ran ostrych i przewlekłych. Skuteczność potwierdzona badaniami klinicznymi Poj. 990ML-1000ML szt. 200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33141110-4,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520322" w:rsidRPr="00520322" w:rsidTr="005203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520322" w:rsidRPr="00520322" w:rsidTr="005203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520322" w:rsidRPr="00520322" w:rsidRDefault="00520322" w:rsidP="0052032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3662"/>
      </w:tblGrid>
      <w:tr w:rsidR="00520322" w:rsidRPr="00520322" w:rsidTr="005203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Grup 5 - Spray do usuwania plastrów</w:t>
            </w:r>
          </w:p>
        </w:tc>
      </w:tr>
    </w:tbl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52032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Spray do usuwania plastrów "Bezalkoholowy spray do bezbolesnego usuwania plastrów o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poj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50ml" szt. 275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2) Wspólny Słownik Zamówień(CPV):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33141110-4,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520322" w:rsidRPr="00520322" w:rsidTr="005203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520322" w:rsidRPr="00520322" w:rsidTr="005203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520322" w:rsidRPr="00520322" w:rsidRDefault="00520322" w:rsidP="0052032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1922"/>
      </w:tblGrid>
      <w:tr w:rsidR="00520322" w:rsidRPr="00520322" w:rsidTr="005203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grupa 6 - opatrunki</w:t>
            </w:r>
          </w:p>
        </w:tc>
      </w:tr>
    </w:tbl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52032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 opatrunek Materiał hemostatyczny z utlenionej, nieregenerowanej lub regenerowanej celulozy, w 100% pochodzenia roślinnego, wykonany z naturalnej bawełny. Tkanina dziana o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pH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2,2- 4,5 i zawartości grupy karboksylowej 16-24%. Właściwości bakteriobójcze materiału hamujące wzrost i namnażanie się organizmów gram dodatnich i gram ujemnych - w tym bakterii tlenowych i beztlenowych. Etykiety samoprzylepne (możliwość wklejania do karty pacjenta). Czas hemostazy: 3-4 min. Czas wchłaniania: 7-14 dni. Wymagane badania kliniczne in vitro lub in vivo. Rozmiar 5cmx7,5cm (+/- 0,5 cm) szt. 502 2 opatrunek Materiał hemostatyczny z utlenionej, nieregenerowanej lub regenerowanej celulozy, w 100% pochodzenia roślinnego, wykonany z naturalnej bawełny. Tkanina dziana o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pH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2,2- 4,5 i zawartości grupy karboksylowej 16-24%. Właściwości bakteriobójcze materiału hamujące wzrost i namnażanie się organizmów gram dodatnich i gram ujemnych - w tym bakterii tlenowych i beztlenowych. Etykiety samoprzylepne (możliwość wklejania do karty pacjenta). Czas hemostazy: 3-4 min. Czas wchłaniania: 7-14 dni. Wymagane badania kliniczne in vitro lub in vivo. Rozmiar 10cmx20cm (+/- 0,5 cm) szt. 672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33141110-4,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520322" w:rsidRPr="00520322" w:rsidTr="005203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520322" w:rsidRPr="00520322" w:rsidTr="005203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520322" w:rsidRPr="00520322" w:rsidRDefault="00520322" w:rsidP="0052032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3541"/>
      </w:tblGrid>
      <w:tr w:rsidR="00520322" w:rsidRPr="00520322" w:rsidTr="005203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Grupa 7 - opatrunek specjalistyczny</w:t>
            </w:r>
          </w:p>
        </w:tc>
      </w:tr>
    </w:tbl>
    <w:p w:rsidR="00520322" w:rsidRPr="00520322" w:rsidRDefault="00520322" w:rsidP="0052032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520322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opatrunek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Opatrunek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hydrożelowy składający się z wodnej kompozycji naturalnych i syntetycznych polimerów takich jak </w:t>
      </w:r>
      <w:proofErr w:type="spellStart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>povidone</w:t>
      </w:r>
      <w:proofErr w:type="spellEnd"/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glikol polietylenowy i agar, sterylny z stałą strukturą hydrożelu zapewniający wilgotne środowisko gojenia. Rozmiar 10 x 12 cm (+/- 0,5 cm) szt. 100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33141110-4,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miesiącach: 24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30"/>
        <w:gridCol w:w="1016"/>
      </w:tblGrid>
      <w:tr w:rsidR="00520322" w:rsidRPr="00520322" w:rsidTr="005203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520322" w:rsidRPr="00520322" w:rsidTr="0052032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0322" w:rsidRPr="00520322" w:rsidRDefault="00520322" w:rsidP="005203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20322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100,00</w:t>
            </w:r>
          </w:p>
        </w:tc>
      </w:tr>
    </w:tbl>
    <w:p w:rsidR="00520322" w:rsidRPr="00520322" w:rsidRDefault="00520322" w:rsidP="0052032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2032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52032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20322" w:rsidRPr="00520322" w:rsidRDefault="00520322" w:rsidP="0052032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20322" w:rsidRDefault="00520322" w:rsidP="0052032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443B" w:rsidRDefault="00DA443B" w:rsidP="0052032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443B" w:rsidRDefault="00DA443B" w:rsidP="0052032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443B" w:rsidRDefault="00DA443B" w:rsidP="0052032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A443B" w:rsidRDefault="00DA443B" w:rsidP="0052032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20322" w:rsidRPr="00520322" w:rsidTr="005203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520322" w:rsidRPr="00520322" w:rsidRDefault="00520322" w:rsidP="00520322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520322" w:rsidRPr="00520322" w:rsidRDefault="00520322" w:rsidP="00520322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520322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520322" w:rsidRPr="00520322" w:rsidRDefault="00520322" w:rsidP="00520322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520322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520322" w:rsidRPr="00520322" w:rsidRDefault="00520322" w:rsidP="00520322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520322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307418" w:rsidRDefault="00307418"/>
    <w:sectPr w:rsidR="003074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322"/>
    <w:rsid w:val="00307418"/>
    <w:rsid w:val="00520322"/>
    <w:rsid w:val="00DA44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488A3"/>
  <w15:chartTrackingRefBased/>
  <w15:docId w15:val="{EFE8D935-9FBA-497C-8A82-90383449A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520322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520322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520322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520322"/>
    <w:rPr>
      <w:rFonts w:ascii="Arial" w:eastAsia="Times New Roman" w:hAnsi="Arial" w:cs="Arial"/>
      <w:vanish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553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54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797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705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94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11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236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5441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236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544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0732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232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072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9597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87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480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3614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876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7048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615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4142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9479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7955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630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750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44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378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720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0393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7964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6649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5115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666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59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3969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94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885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4891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7132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341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3658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310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548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14</Pages>
  <Words>4344</Words>
  <Characters>26065</Characters>
  <Application>Microsoft Office Word</Application>
  <DocSecurity>0</DocSecurity>
  <Lines>217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</cp:revision>
  <dcterms:created xsi:type="dcterms:W3CDTF">2020-08-28T10:37:00Z</dcterms:created>
  <dcterms:modified xsi:type="dcterms:W3CDTF">2020-08-28T10:55:00Z</dcterms:modified>
</cp:coreProperties>
</file>