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25/08/2020    S164</w:t>
      </w:r>
    </w:p>
    <w:p w:rsidR="00A56CEB" w:rsidRDefault="00A56CEB" w:rsidP="00A56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Polska-Oświęcim: Urządzenia medyczne</w:t>
      </w:r>
    </w:p>
    <w:p w:rsidR="00A56CEB" w:rsidRDefault="00A56CEB" w:rsidP="00A56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164-398211</w:t>
      </w:r>
    </w:p>
    <w:p w:rsidR="00A56CEB" w:rsidRDefault="00A56CEB" w:rsidP="00A56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zamówieniu</w:t>
      </w:r>
    </w:p>
    <w:p w:rsidR="00A56CEB" w:rsidRDefault="00A56CEB" w:rsidP="00A56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Dyrektywa 2014/24/UE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Zespół Opieki Zdrowotnej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Wysokie Brzegi 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Oświęcim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PL21A Oświęcimski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32-600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Osoba do kontaktów: Zdzisława Wojtyła-Kuszewska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zamowienia@szpitaloswiecim.pl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33-84-48-230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www.szpitaloswiecim.pl</w:t>
        </w:r>
      </w:hyperlink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profilu nabywcy: </w:t>
      </w:r>
      <w:hyperlink r:id="rId9" w:tgtFrame="_blank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www.szpitaloswiecim.pl</w:t>
        </w:r>
      </w:hyperlink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0" w:tgtFrame="_blank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www.szpitaloswiecim.pl;www.przetargi.propublico.pl</w:t>
        </w:r>
      </w:hyperlink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1" w:tgtFrame="_blank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https://miniportal.uzp.gov.pl/</w:t>
        </w:r>
      </w:hyperlink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Podmiot prawa publicznego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Zdrowie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Dostawa aparatury i sprzętu medycznego – 25 pakietów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ZOZ.DZP.271.1.VIII.2020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LA16 - LA20 - LA23 - LA27 - LA50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Przedmiotem zamówienia jest: dostawa aparatury i sprzętu medycznego z podziałem na 25 pakietów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Wartość bez VAT: 279 548.52 PLN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Maksymalna liczba części, które mogą zostać udzielone jednemu oferentowi: 25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 – stetoskop – 18 sztuk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Stetoskop – 18 sztuk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37,00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Pakiet nr 2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pulsoksymetr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4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38423000 Urządzenia do pomiaru ciśnienia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Pulsoksymetr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4 sztuki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13,00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3 – stojak do kroplówek – 4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Stojak do kroplówek – 4 sztuki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26,00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4 – Wózek na brudną bieliznę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4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34911100 Wózki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Wózek na brudną bieliznę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39,00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5 – detektor tętna płodu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5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Detektor tętna płodu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74,00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6 – waga dla pacjentów – 2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42923110 Wagi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Waga dla pacjentów – 2 sztuki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33,00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7 – komplet zgłębnika żylnego – 2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7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Komplet zgłębnika żylnego – 2 sztuki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63,00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8 – inhalator dyszowy – 5 sztuk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8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Inhalator dyszowy – 5 sztuk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23,00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9 – parawan medyczny – 4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9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Parawan medyczny – 4 sztuki,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20,00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10 – dozownik do tlenu – 8 sztuk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Dozownik do tlenu – 8 sztuk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167,00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11 – nebulizator – 4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11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11 – nebulizator – 4 sztuki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37,00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12 – wózek inwalidzki – 2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33193120 Wózki inwalidzkie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Wózek inwalidzki – 2 sztuki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26,00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13 – balkonik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13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Balkonik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7,00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14 – aparat do resuscytacji – 5 sztuk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14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LA20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 do resuscytacji – 5 sztuk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83,00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15 – pasy unieruchamiające – 3 sztuki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15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Pasy unieruchamiające – 3 sztuki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Wadium dla pakietu wynosi 128,00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16 – laboratoryjny mikroskop badawczy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38510000 Mikroskopy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Laboratoryjny mikroskop badawczy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196,00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17 – system nie izotopowego wykrywania węzłów chłonnych wartowniczych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17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 nie izotopowego wykrywania węzłów chłonnych wartowniczych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2 778,00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18 – krzesło do pobierania krwi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18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Krzesło do pobierania krwi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Wadium dla pakietu wynosi 13,00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19 – kardiomonitor z wyposażeniem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19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LA50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Kardiomonitor z wyposażeniem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107,00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20 – lampa diagnostyczno-zabiegowa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Lampa diagnostyczno-zabiegowa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204,00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21 – laktator szpitalny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21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Laktator szpitalny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133,00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Pakiet nr 22 – aparat EKG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LA50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 EKG – 1 sztuka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111,00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23 – defibrylator z wyposażeniem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23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LA27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33172200 Urządzenia do resuscytacji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Defibrylator z wyposażeniem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500,00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24 – pasy unieruchamiające – 16 kompletów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24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Pasy unieruchamiające – 16 kompletów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179,00 PLN.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Pakiet nr 25 – system napędów akumulatorowych – 1 sztuka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25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 napędów akumulatorowych – 1 sztuka – zgodnie z zapisami zawartymi w formularzu cenowym stanowiącym załącznik nr 2 do SIWZ.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dla pakietu wynosi 593,00 PLN.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Brak wymogu.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Brak wymogu.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Brak wymogu.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IV: Procedura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Procedura otwarta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IV.1.8)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28/09/2020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09:00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Polski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28/09/2020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Opieki Zdrowotnej w Oświęcimiu, ul. Wysokie Brzegi 4, 32-600 Oświęcim, POLSKA.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Akceptowane będą faktury elektroniczne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posiada konto na platformie elektronicznego fakturowania </w:t>
      </w:r>
      <w:hyperlink r:id="rId12" w:tgtFrame="_blank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www.efaktura.gov.pl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Platforma umożliwia przesyłanie ustrukturyzowanych faktur elektronicznych oraz innych ustrukturyzowanych dokumentów. Numer PEF Zamawiającego: 549159851.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przed udzieleniem zamówienia wezwie Wykonawcę, którego oferta została najwyżej oceniona, do złożenia w wyznaczonym, nie krótszym niż 10 dni, terminie aktualnych na dzień złożenia następujących oświadczeń lub dokumentów: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aktualny odpis z właściwego rejestru, jeżeli odrębne przepisy wymagają wpisu do rejestru, w celu wykazania braku podstaw do wykluczenia w oparciu o art. 24 ust. 5 pkt 1 ustawy, wystawiony nie wcześniej niż 6 miesięcy przed upływem terminu składania ofert, a w stosunku do osób fizycznych oświadczenia w zakresie art. 24 ust. 5 pkt 1 ustawy;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wykonania decyzji właściwego organu – wystawione nie wcześniej niż 3 miesiące przed upływem terminu składania ofert;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aktualne zaświadczenie właściwego oddziału Zakładu Ubezpieczeń Społecznych lub Kasy Rolniczego Ubezpieczenia Społecznego potwierdzające, że Wykonawca nie zalega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opłacaniem składek na ubezpieczenie zdrowotne i społeczne lub potwierdzenie, że uzyskał przewidziane prawem zwolnienie, odroczenie lub rozłożenie na raty zaległych płatności lub wstrzymane w całości wykonania decyzji właściwego organu – wystawione nie wcześniej niż 3 miesiące przed upływem terminu składania ofert.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opisu przedmiotu zamówienia: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oświadczenia Wykonawcy, że zaoferowane wyroby spełniają wymagania określone w ustawie z dnia 20 maja 2010 r. o wyrobach medycznych (Dz.U. z 2020 r., poz. 186) a ponadto, że Wykonawca jest gotowy w każdej chwili na żądanie Zamawiającego potwierdzić to poprzez przesłanie kopii odpowiedniej dokumentacji (o ile dotyczy) lub oświadczenie, że oferowany produkt nie jest wyrobem medycznym – załącznik nr 5 do SIWZ – dotyczy wszystkich pakietów;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certyfikat potwierdzający posiadanie znaku CE, bądź deklaracja zgodności CE lub inne dokumenty równoważne – dotyczy wszystkich pakietów;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oświadczenie dotyczące dostarczenia instrukcji obsługi w języku polskim – załącznik nr 5 do SIWZ – dotyczy wszystkich pakietów;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oświadczenie Wykonawcy, że na wezwanie Zamawiającego przedstawi ulotki, katalogi potwierdzające, że sprzęt posiada wymagane parametry – załącznik nr 5 do SIWZ – dotyczy wszystkich pakietów;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oświadczenie dotyczące odpowiednio rozładunku, montażu, uruchomienia, przeprowadzenia szkolenia pracowników – załącznik nr 5 do SIWZ – dotyczy pakietów nr: 16, 17, 19, 20, 22, 23, 25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oświadczenie o zgodności z dyrektywą 93/42/EWG – dotyczy pakietu nr 17.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Ponadto oferta winna być zabezpieczona wadium: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 37,00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2 13,00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3 26,00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4 39,00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5 74,00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6 33,00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7 63,00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8 23,00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9 20,00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10 167,00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11 37,00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12 26,00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— pakiet nr 13 7,00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14 83,00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15 128,00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16 196,00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17 2.778,00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18 13,00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19 107,00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20 204,00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21 133,00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22 111,00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23 500,00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24 179,00 PLN,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pakiet nr 25 593,00 PLN.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wnosi się przed upływem terminu składania ofert oraz w kilku formach, o których mowa w rozdz. IX SIWZ „Wadium”.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Oficjalna nazwa: Krajowa Izba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Odwolawcza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 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Oficjalna nazwa: Krajowa Izba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Odwolawcza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 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Informacja o niezgodnej z przepisami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czynności: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1.1. Wykonawca może w terminie przewidzianym do wniesienia odwołania poinformować Zamawiającego o niezgodnej z przepisami ustawy PZP czynności podjętej przez niego lub zaniechaniu czynności, do której jest on zobowiązany na podstawie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które nie przysługuje odwołanie.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1.2. W przypadku uznania zasadności przekazanej informacji Zamawiający powtarza czynność albo dokona czynności zaniechanej, informując o tym Wykonawców w sposób przewidziany w ustawie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tej czynności; na powyższe nie przysługuje odwołanie.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Odwołanie przysługuje wyłącznie od niezgodnej z przepisami ustawy czynności Zamawiającego podjętej w postępowaniu o udzielenie zamówienia lub zaniechania czynności, do której Zamawiający jest zobowiązany na podstawie ustawy: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2.1. Jeżeli wartość zamówienia jest mniejsza niż kwoty określone w przepisach wydanych na podstawie art. 11 ust. 8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odwołanie przysługuje wyłącznie wobec czynności: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wyboru trybu negocjacji bez ogłoszenia, zamówienia z wolnej ręki lub zapytania o cenę;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określenia warunków udziału w postępowaniu;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wykluczenia odwołującego z postępowania o udzielenie zamówienia;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odrzucenia oferty odwołującego;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opisu przedmiotu zamówienia;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wyboru najkorzystniejszej oferty.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2.3. 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2.4. O oddaleniu odwołania lub jego uwzględnieniu Izba orzeka w wyroku.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2.5. Odwołanie wnosi się do Prezesa Izby przesyłając jego kopię Zamawiającemu przed upływem terminu do wniesienia odwołania w taki sposób, aby mógł on zapoznać się z jego treścią przed upływem tego terminu.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2.6. Odwołanie wnosi się w terminach określonych w art. 182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Skarga do sądu: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3.1 Na orzeczenie Izby stronom oraz uczestnikom postępowania odwoławczego przysługuje skarga do sądu.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1.2. Skargę wnosi się za pośrednictwem Prezesa Izby w terminie 7 dni od dnia doręczenia orzeczenia Izby, przesyłając jednocześnie jej odpis przeciwnikowi skargi.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Prezes Izby przekazuje skargę wraz z aktami postępowania odwoławczego właściwemu sądowi w terminie 7 dni od dnia jej otrzymania.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b) Skarga powinna czynić zadość wymaganiom przewidzianym dla pisma procesowego oraz zawierać oznaczenie zaskarżonego orzeczenia, przytoczenie zarzutów, zwięzłe ich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uzasadnienie, wskazanie dowodów, a także wniosek o uchylenie orzeczenia lub zmianę orzeczenia w całości lub części.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Sąd rozpoznaje sprawę niezwłocznie, nie później jednak niż w terminie 1 miesiąca od dnia wpływu skargi do sądu.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d) Od wyroku sądu lub postanowienia kończącego postępowanie w sprawie nie przysługuje skarga kasacyjna. </w:t>
      </w:r>
    </w:p>
    <w:p w:rsidR="00A56CEB" w:rsidRDefault="00A56CEB" w:rsidP="00A56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Przepisy dotyczące środków ochrony prawnej znajdują się w art. 179–198g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Oficjalna nazwa: Krajowa Izba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Odwolawcza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 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56CEB" w:rsidRDefault="00A56CEB" w:rsidP="00A56C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20/08/2020</w:t>
      </w:r>
    </w:p>
    <w:p w:rsidR="00A56CEB" w:rsidRPr="00A56CEB" w:rsidRDefault="00A56CEB" w:rsidP="00A56CEB"/>
    <w:p w:rsidR="00F8425D" w:rsidRPr="00A56CEB" w:rsidRDefault="00F8425D" w:rsidP="00A56CEB"/>
    <w:sectPr w:rsidR="00F8425D" w:rsidRPr="00A56CEB" w:rsidSect="004A30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00" w:rsidRDefault="00DA5400">
      <w:r>
        <w:separator/>
      </w:r>
    </w:p>
  </w:endnote>
  <w:endnote w:type="continuationSeparator" w:id="0">
    <w:p w:rsidR="00DA5400" w:rsidRDefault="00D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075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00" w:rsidRDefault="00DA5400">
      <w:r>
        <w:separator/>
      </w:r>
    </w:p>
  </w:footnote>
  <w:footnote w:type="continuationSeparator" w:id="0">
    <w:p w:rsidR="00DA5400" w:rsidRDefault="00DA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E7" w:rsidRDefault="00E41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E7" w:rsidRDefault="00E418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E7" w:rsidRDefault="00E41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A5A13AB"/>
    <w:multiLevelType w:val="multilevel"/>
    <w:tmpl w:val="59B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763C6"/>
    <w:multiLevelType w:val="multilevel"/>
    <w:tmpl w:val="FF9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31"/>
  </w:num>
  <w:num w:numId="5">
    <w:abstractNumId w:val="13"/>
  </w:num>
  <w:num w:numId="6">
    <w:abstractNumId w:val="17"/>
  </w:num>
  <w:num w:numId="7">
    <w:abstractNumId w:val="28"/>
  </w:num>
  <w:num w:numId="8">
    <w:abstractNumId w:val="2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</w:num>
  <w:num w:numId="12">
    <w:abstractNumId w:val="33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9"/>
  </w:num>
  <w:num w:numId="18">
    <w:abstractNumId w:val="30"/>
  </w:num>
  <w:num w:numId="19">
    <w:abstractNumId w:val="16"/>
  </w:num>
  <w:num w:numId="20">
    <w:abstractNumId w:val="8"/>
  </w:num>
  <w:num w:numId="21">
    <w:abstractNumId w:val="5"/>
  </w:num>
  <w:num w:numId="22">
    <w:abstractNumId w:val="34"/>
  </w:num>
  <w:num w:numId="23">
    <w:abstractNumId w:val="3"/>
  </w:num>
  <w:num w:numId="24">
    <w:abstractNumId w:val="15"/>
  </w:num>
  <w:num w:numId="25">
    <w:abstractNumId w:val="27"/>
  </w:num>
  <w:num w:numId="26">
    <w:abstractNumId w:val="20"/>
  </w:num>
  <w:num w:numId="27">
    <w:abstractNumId w:val="14"/>
  </w:num>
  <w:num w:numId="28">
    <w:abstractNumId w:val="11"/>
  </w:num>
  <w:num w:numId="29">
    <w:abstractNumId w:val="19"/>
  </w:num>
  <w:num w:numId="30">
    <w:abstractNumId w:val="24"/>
  </w:num>
  <w:num w:numId="31">
    <w:abstractNumId w:val="7"/>
  </w:num>
  <w:num w:numId="32">
    <w:abstractNumId w:val="0"/>
  </w:num>
  <w:num w:numId="33">
    <w:abstractNumId w:val="18"/>
  </w:num>
  <w:num w:numId="34">
    <w:abstractNumId w:val="29"/>
  </w:num>
  <w:num w:numId="35">
    <w:abstractNumId w:val="1"/>
  </w:num>
  <w:num w:numId="36">
    <w:abstractNumId w:val="2"/>
  </w:num>
  <w:num w:numId="37">
    <w:abstractNumId w:val="35"/>
  </w:num>
  <w:num w:numId="38">
    <w:abstractNumId w:val="6"/>
  </w:num>
  <w:num w:numId="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400"/>
    <w:rsid w:val="00035908"/>
    <w:rsid w:val="0005576B"/>
    <w:rsid w:val="0006028F"/>
    <w:rsid w:val="00075F17"/>
    <w:rsid w:val="00081158"/>
    <w:rsid w:val="00095B82"/>
    <w:rsid w:val="000B6F85"/>
    <w:rsid w:val="000D5B9A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4D04CF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B1D"/>
    <w:rsid w:val="0073606B"/>
    <w:rsid w:val="00771265"/>
    <w:rsid w:val="007727A4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56CEB"/>
    <w:rsid w:val="00A710AE"/>
    <w:rsid w:val="00A808F2"/>
    <w:rsid w:val="00A81C3A"/>
    <w:rsid w:val="00A900D1"/>
    <w:rsid w:val="00A95EE1"/>
    <w:rsid w:val="00A95FB5"/>
    <w:rsid w:val="00AB1F43"/>
    <w:rsid w:val="00AB3060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13724"/>
    <w:rsid w:val="00D509D2"/>
    <w:rsid w:val="00DA5400"/>
    <w:rsid w:val="00DC2221"/>
    <w:rsid w:val="00DC417D"/>
    <w:rsid w:val="00DD6E36"/>
    <w:rsid w:val="00DD760A"/>
    <w:rsid w:val="00DE794A"/>
    <w:rsid w:val="00E1526C"/>
    <w:rsid w:val="00E219E8"/>
    <w:rsid w:val="00E418E7"/>
    <w:rsid w:val="00E7197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ECA203"/>
  <w15:chartTrackingRefBased/>
  <w15:docId w15:val="{C38EEB94-7514-4BDE-9BF7-FA4CFFA4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CEB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paragraph" w:customStyle="1" w:styleId="Default">
    <w:name w:val="Default"/>
    <w:rsid w:val="00A56CE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unhideWhenUsed/>
    <w:rsid w:val="00A56CEB"/>
    <w:rPr>
      <w:color w:val="0000FF"/>
      <w:u w:val="single"/>
    </w:rPr>
  </w:style>
  <w:style w:type="character" w:styleId="UyteHipercze">
    <w:name w:val="FollowedHyperlink"/>
    <w:uiPriority w:val="99"/>
    <w:unhideWhenUsed/>
    <w:rsid w:val="00A56CEB"/>
    <w:rPr>
      <w:color w:val="800080"/>
      <w:u w:val="single"/>
    </w:rPr>
  </w:style>
  <w:style w:type="paragraph" w:customStyle="1" w:styleId="msonormal0">
    <w:name w:val="msonormal"/>
    <w:basedOn w:val="Normalny"/>
    <w:uiPriority w:val="99"/>
    <w:semiHidden/>
    <w:rsid w:val="00A5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grseq">
    <w:name w:val="tigrseq"/>
    <w:basedOn w:val="Normalny"/>
    <w:uiPriority w:val="99"/>
    <w:semiHidden/>
    <w:rsid w:val="00A5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">
    <w:name w:val="p"/>
    <w:basedOn w:val="Normalny"/>
    <w:uiPriority w:val="99"/>
    <w:semiHidden/>
    <w:rsid w:val="00A5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rsid w:val="00A56CEB"/>
  </w:style>
  <w:style w:type="character" w:customStyle="1" w:styleId="oj">
    <w:name w:val="oj"/>
    <w:rsid w:val="00A56CEB"/>
  </w:style>
  <w:style w:type="character" w:customStyle="1" w:styleId="nomark">
    <w:name w:val="nomark"/>
    <w:rsid w:val="00A56CEB"/>
  </w:style>
  <w:style w:type="character" w:customStyle="1" w:styleId="timark">
    <w:name w:val="timark"/>
    <w:rsid w:val="00A56CEB"/>
  </w:style>
  <w:style w:type="character" w:customStyle="1" w:styleId="nutscode">
    <w:name w:val="nutscode"/>
    <w:rsid w:val="00A56CEB"/>
  </w:style>
  <w:style w:type="character" w:customStyle="1" w:styleId="cpvcode">
    <w:name w:val="cpvcode"/>
    <w:rsid w:val="00A5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oswiecim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@szpitaloswiecim.pl?subject=TED" TargetMode="External"/><Relationship Id="rId12" Type="http://schemas.openxmlformats.org/officeDocument/2006/relationships/hyperlink" Target="http://www.efaktura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zpitaloswiecim.pl;www.przetargi.propublico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oswiecim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n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23</Pages>
  <Words>5097</Words>
  <Characters>36720</Characters>
  <Application>Microsoft Office Word</Application>
  <DocSecurity>0</DocSecurity>
  <Lines>306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jjanus</dc:creator>
  <cp:keywords/>
  <cp:lastModifiedBy>jjanus</cp:lastModifiedBy>
  <cp:revision>3</cp:revision>
  <cp:lastPrinted>2001-02-10T19:50:00Z</cp:lastPrinted>
  <dcterms:created xsi:type="dcterms:W3CDTF">2020-08-25T07:48:00Z</dcterms:created>
  <dcterms:modified xsi:type="dcterms:W3CDTF">2020-08-25T07:51:00Z</dcterms:modified>
</cp:coreProperties>
</file>