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D47549">
        <w:rPr>
          <w:rFonts w:ascii="Verdana" w:hAnsi="Verdana"/>
          <w:sz w:val="16"/>
          <w:szCs w:val="16"/>
        </w:rPr>
        <w:t>KC-zp.272-397/20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F11888" w:rsidRPr="00F11888">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F11888" w:rsidRPr="00F11888">
        <w:rPr>
          <w:rFonts w:ascii="Verdana" w:hAnsi="Verdana"/>
          <w:sz w:val="16"/>
          <w:szCs w:val="16"/>
        </w:rPr>
        <w:t>2020-08-24</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F11888" w:rsidRPr="00F11888">
        <w:rPr>
          <w:rFonts w:ascii="Verdana" w:hAnsi="Verdana"/>
          <w:b/>
          <w:sz w:val="20"/>
        </w:rPr>
        <w:t>2020-08-24</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F11888" w:rsidRPr="00F11888">
        <w:rPr>
          <w:rFonts w:ascii="Verdana" w:hAnsi="Verdana"/>
          <w:b/>
          <w:sz w:val="20"/>
        </w:rPr>
        <w:t>przetarg nieograniczony</w:t>
      </w:r>
      <w:r w:rsidRPr="00A17896">
        <w:rPr>
          <w:rFonts w:ascii="Verdana" w:hAnsi="Verdana"/>
          <w:b/>
          <w:sz w:val="20"/>
        </w:rPr>
        <w:t>”</w:t>
      </w:r>
      <w:r w:rsidR="00D47549">
        <w:rPr>
          <w:rFonts w:ascii="Verdana" w:hAnsi="Verdana"/>
          <w:sz w:val="20"/>
        </w:rPr>
        <w:t xml:space="preserve">/, </w:t>
      </w:r>
      <w:r w:rsidR="00476899">
        <w:rPr>
          <w:rFonts w:ascii="Verdana" w:hAnsi="Verdana"/>
          <w:sz w:val="20"/>
        </w:rPr>
        <w:t xml:space="preserve">którego przedmiotem jest </w:t>
      </w:r>
      <w:r w:rsidR="00F11888" w:rsidRPr="00F11888">
        <w:rPr>
          <w:rFonts w:ascii="Verdana" w:hAnsi="Verdana"/>
          <w:b/>
          <w:sz w:val="20"/>
        </w:rPr>
        <w:t>remont instalacji c.o. w pomieszczeniach dydaktycznych i laboratoryjnych hali H-B1B2 AGH w Krakowie - KC-zp.272-397/20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Treść zapytania brzmi następująco:</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[AD. 1]</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6.</w:t>
      </w:r>
      <w:r w:rsidRPr="00F3282E">
        <w:rPr>
          <w:rFonts w:ascii="Verdana" w:eastAsia="MS Mincho" w:hAnsi="Verdana" w:cs="Arial"/>
          <w:sz w:val="18"/>
          <w:szCs w:val="18"/>
        </w:rPr>
        <w:tab/>
        <w:t>Zamawiający w rozdziale III SIWZ określił, że „Prace należy wykonać i wycenić z uwzględnieniem (…) konieczność zdemontowania i zabezpieczenia elementów zdemontowanych na czas wykonywania prac instalacyjnych, a następnie ponownego montażu wszystkich elementów przeznaczonych do ponownego montażu”.</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7.</w:t>
      </w:r>
      <w:r w:rsidRPr="00F3282E">
        <w:rPr>
          <w:rFonts w:ascii="Verdana" w:eastAsia="MS Mincho" w:hAnsi="Verdana" w:cs="Arial"/>
          <w:sz w:val="18"/>
          <w:szCs w:val="18"/>
        </w:rPr>
        <w:tab/>
        <w:t xml:space="preserve">Na podstawie tak lakonicznego opisu wykonawcy nie są w stanie dokonać rzetelnej kalkulacji. Każdy z wykonawców inaczej skalkuluje ryzyko w tym zakresie. W związku z powyższym kalkulacje wykonawców będą mieć charakter wyłącznie spekulacyjny. A w konsekwencji oferty złożone przez poszczególnych wykonawców nie będą do siebie porównywalne. </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Należy w tym miejscu przytoczyć wyrok Krajowej Izby Odwoławczej z dni 21 lutego 2019 r. wydany w sprawie o sygnaturze akt KIO 168/19, w którym Izba wskazał, że „Trudno mówić o prawidłowym dokonaniu opisu przedmiotu zamówienia, kiedy istnieje znaczące ryzyko złożenia nieporównywalnych ofert, którego nie wyeliminowała zmiana treści SIWZ dokonana przez zamawiającego.”</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8.</w:t>
      </w:r>
      <w:r w:rsidRPr="00F3282E">
        <w:rPr>
          <w:rFonts w:ascii="Verdana" w:eastAsia="MS Mincho" w:hAnsi="Verdana" w:cs="Arial"/>
          <w:sz w:val="18"/>
          <w:szCs w:val="18"/>
        </w:rPr>
        <w:tab/>
        <w:t>W tym zakresie wnoszę o dokonanie opisu w sposób umożliwiający wykonawcy pełną wycenę.</w:t>
      </w: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Odpowiedź:</w:t>
      </w: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 xml:space="preserve">Zamawiający informuje, że w rozdziale III SIWZ punkt pn.: "Prace należy wykonać i wycenić z uwzględnieniem" rezygnuje z zapisu: </w:t>
      </w:r>
      <w:r w:rsidRPr="00F3282E">
        <w:rPr>
          <w:rFonts w:ascii="Verdana" w:eastAsia="MS Mincho" w:hAnsi="Verdana" w:cs="Arial"/>
          <w:b/>
          <w:sz w:val="18"/>
          <w:szCs w:val="18"/>
        </w:rPr>
        <w:lastRenderedPageBreak/>
        <w:t>"konieczność zdemontowania i zabezpieczenia elementów zdemontowanych na czas wykonywania prac instalacyjnych, a następnie ponownego montażu wszystkich elementów przeznaczonych do ponownego montażu". Jednocześnie informujemy, że wszystkie elementy, które należy zdemontować określa szczegółowo dokumentacja projektowa.</w:t>
      </w: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[AD. 2]</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9.</w:t>
      </w:r>
      <w:r w:rsidRPr="00F3282E">
        <w:rPr>
          <w:rFonts w:ascii="Verdana" w:eastAsia="MS Mincho" w:hAnsi="Verdana" w:cs="Arial"/>
          <w:sz w:val="18"/>
          <w:szCs w:val="18"/>
        </w:rPr>
        <w:tab/>
        <w:t>W rozdziale XIII punkt 2 SIWZ, Zamawiający określił, że „Cena ofertowa powinna obejmować pełne wykonanie przedmiotu zamówienia, na podstawie: dokumentacji projektowej, specyfikacji technicznej wykonania i odbioru robót, oględzin terenu budowy, opisu przedmiotu zamówienia w SIWZ, w tym postanowień umowy”.</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10.</w:t>
      </w:r>
      <w:r w:rsidRPr="00F3282E">
        <w:rPr>
          <w:rFonts w:ascii="Verdana" w:eastAsia="MS Mincho" w:hAnsi="Verdana" w:cs="Arial"/>
          <w:sz w:val="18"/>
          <w:szCs w:val="18"/>
        </w:rPr>
        <w:tab/>
        <w:t>Jednocześnie jednak w rozdziale III SIWZ znalazło się postanowienie, że „Zamawiający nie przewiduje organizacji wizji lokalnej”. Postanowienie to zostało wyróżnione graficznie poprzez użycie czerwonego koloru oraz pogrubienie.</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Również na stronie internetowej Zamawiającego pod adresem http://www.dzp.agh.edu.pl/ znajduje się informacja, że „W związku z rozprzestrzenianiem się wirusa COVID-19 oraz wprowadzeniem stanu epidemii, władze AGH ograniczyły poruszanie się po Uczelni osób niebędących pracownikami AGH.”</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11.</w:t>
      </w:r>
      <w:r w:rsidRPr="00F3282E">
        <w:rPr>
          <w:rFonts w:ascii="Verdana" w:eastAsia="MS Mincho" w:hAnsi="Verdana" w:cs="Arial"/>
          <w:sz w:val="18"/>
          <w:szCs w:val="18"/>
        </w:rPr>
        <w:tab/>
        <w:t xml:space="preserve">Tym samym mamy do czynienia z sytuacją, w której z jednej strony Zamawiający wprost informuje, że nie przewiduje wizji lokalnej i dostęp do terenów Zamawiającego dla wykonawców jest niemożliwy, a z drugiej strony wymaga przygotowania wyceny na podstawie oględzin terenu budowy. </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12.</w:t>
      </w:r>
      <w:r w:rsidRPr="00F3282E">
        <w:rPr>
          <w:rFonts w:ascii="Verdana" w:eastAsia="MS Mincho" w:hAnsi="Verdana" w:cs="Arial"/>
          <w:sz w:val="18"/>
          <w:szCs w:val="18"/>
        </w:rPr>
        <w:tab/>
        <w:t>W tym zakresie wnoszę o nadanie rozdziałowi XIII punkt 2 SIWZ następującej treści:  „Cena ofertowa powinna obejmować pełne wykonanie przedmiotu zamówienia, na podstawie: dokumentacji projektowej, specyfikacji technicznej wykonania i odbioru robót, opisu przedmiotu zamówienia w SIWZ, w tym postanowień umowy”.</w:t>
      </w: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Odpowiedź:</w:t>
      </w: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Zamawiający przewiduje zorganizowanie wizji lokalnej. Osoby delegowane przez zainteresowane firmy proszone są o zgłoszenie się w dniu 26.08.2020 r. o godz. 10:00 przed wejściem głównym do budynku B-1 AGH w Krakowie.</w:t>
      </w: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[AD. 3]</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13.</w:t>
      </w:r>
      <w:r w:rsidRPr="00F3282E">
        <w:rPr>
          <w:rFonts w:ascii="Verdana" w:eastAsia="MS Mincho" w:hAnsi="Verdana" w:cs="Arial"/>
          <w:sz w:val="18"/>
          <w:szCs w:val="18"/>
        </w:rPr>
        <w:tab/>
        <w:t>W § 2 ust. 1 wzoru umowy Zamawiający określił, że „Wykonawca oświadcza, że zapoznał się z terenem budowy oraz terenem otaczającym teren budowy i otrzymał od Zamawiającego wszelkie niezbędne dane, mogące mieć wpływ na ryzyko i okoliczności realizacji przedmiotu Umowy. Wykonawca oświadcza także, że zapoznał się z dokumentacją projektową oraz procedurami budowlano-jakościowymi i nie wnosi żadnych zastrzeżeń. Wszelkie zastrzeżenia Wykonawcy dotyczące terenu budowy, prawidłowości i kompletności dokumentacji projektowej otrzymanej od Zamawiającego zgłoszone po terminie zawarcia Umowy nie mogą stanowić podstawy do dochodzenia jakichkolwiek roszczeń od Zamawiającego oraz wnioskowania przez Wykonawcę o przesunięcie terminu realizacji Umowy, z zastrzeżeniem §17 ust. 3 pkt 2)”.</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lastRenderedPageBreak/>
        <w:t>14.</w:t>
      </w:r>
      <w:r w:rsidRPr="00F3282E">
        <w:rPr>
          <w:rFonts w:ascii="Verdana" w:eastAsia="MS Mincho" w:hAnsi="Verdana" w:cs="Arial"/>
          <w:sz w:val="18"/>
          <w:szCs w:val="18"/>
        </w:rPr>
        <w:tab/>
        <w:t>Argumentacja w tym zakresie jest zbieżna z argumentacją wskazaną Ad. 2. Wykonawcy nie są w stanie zapoznać się z teren budowy (jak również terenem otaczającym teren budowy), a w konsekwencji nie mogą złożyć takiego oświadczenia, gdyż byłoby to poświadczenie nieprawdy.</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15.</w:t>
      </w:r>
      <w:r w:rsidRPr="00F3282E">
        <w:rPr>
          <w:rFonts w:ascii="Verdana" w:eastAsia="MS Mincho" w:hAnsi="Verdana" w:cs="Arial"/>
          <w:sz w:val="18"/>
          <w:szCs w:val="18"/>
        </w:rPr>
        <w:tab/>
        <w:t xml:space="preserve">Ponadto wskazuję, że przygotowanie opisu przedmiotu zamówienia jest obowiązkiem Zamawiającego. Zgodnie z normą prawną wynikającą z art. 29 ust. 1 ustawy </w:t>
      </w:r>
      <w:proofErr w:type="spellStart"/>
      <w:r w:rsidRPr="00F3282E">
        <w:rPr>
          <w:rFonts w:ascii="Verdana" w:eastAsia="MS Mincho" w:hAnsi="Verdana" w:cs="Arial"/>
          <w:sz w:val="18"/>
          <w:szCs w:val="18"/>
        </w:rPr>
        <w:t>Pzp</w:t>
      </w:r>
      <w:proofErr w:type="spellEnd"/>
      <w:r w:rsidRPr="00F3282E">
        <w:rPr>
          <w:rFonts w:ascii="Verdana" w:eastAsia="MS Mincho" w:hAnsi="Verdana" w:cs="Arial"/>
          <w:sz w:val="18"/>
          <w:szCs w:val="18"/>
        </w:rPr>
        <w:t xml:space="preserve"> przedmiot zamówienia opisuje się między innymi w sposób wyczerpujący. Ponadto przepis ten wskazuje, że opis przedmiotu zamówienia musi uwzględniać wszystkie wymagania i okoliczności mogące mieć wpływ na sporządzenie oferty. </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 xml:space="preserve">Zamawiający nie może przerzucać ryzyka nieprawidłowego (niezgodnego z art. 29 ust. 1 ustawy </w:t>
      </w:r>
      <w:proofErr w:type="spellStart"/>
      <w:r w:rsidRPr="00F3282E">
        <w:rPr>
          <w:rFonts w:ascii="Verdana" w:eastAsia="MS Mincho" w:hAnsi="Verdana" w:cs="Arial"/>
          <w:sz w:val="18"/>
          <w:szCs w:val="18"/>
        </w:rPr>
        <w:t>Pzp</w:t>
      </w:r>
      <w:proofErr w:type="spellEnd"/>
      <w:r w:rsidRPr="00F3282E">
        <w:rPr>
          <w:rFonts w:ascii="Verdana" w:eastAsia="MS Mincho" w:hAnsi="Verdana" w:cs="Arial"/>
          <w:sz w:val="18"/>
          <w:szCs w:val="18"/>
        </w:rPr>
        <w:t xml:space="preserve">) opisania przedmiotu zamówienia na wykonawcę.  </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16.</w:t>
      </w:r>
      <w:r w:rsidRPr="00F3282E">
        <w:rPr>
          <w:rFonts w:ascii="Verdana" w:eastAsia="MS Mincho" w:hAnsi="Verdana" w:cs="Arial"/>
          <w:sz w:val="18"/>
          <w:szCs w:val="18"/>
        </w:rPr>
        <w:tab/>
        <w:t xml:space="preserve">Wskazuję na wyrok Sądu Apelacyjnego w Warszawie wydanego w dniu 3 grudnia 2019 r. w sprawie o sygnaturze akt I </w:t>
      </w:r>
      <w:proofErr w:type="spellStart"/>
      <w:r w:rsidRPr="00F3282E">
        <w:rPr>
          <w:rFonts w:ascii="Verdana" w:eastAsia="MS Mincho" w:hAnsi="Verdana" w:cs="Arial"/>
          <w:sz w:val="18"/>
          <w:szCs w:val="18"/>
        </w:rPr>
        <w:t>ACa</w:t>
      </w:r>
      <w:proofErr w:type="spellEnd"/>
      <w:r w:rsidRPr="00F3282E">
        <w:rPr>
          <w:rFonts w:ascii="Verdana" w:eastAsia="MS Mincho" w:hAnsi="Verdana" w:cs="Arial"/>
          <w:sz w:val="18"/>
          <w:szCs w:val="18"/>
        </w:rPr>
        <w:t xml:space="preserve"> 266/19 „Mając na względzie treść art. 29 ust. 1 prawa zamówień publicznych, jak i art. 355 § 2 KC, wykonawca powinien uwzględnić w ofercie tylko te ryzyka, które w okolicznościach danej sprawy, przy uwzględnieniu zawodowego charakteru działalności wykonawcy, są możliwe do przewidzenia. Jeżeli inwestor nie opisze przedmiotu zamówienia w wyczerpujący sposób, nie można przerzucać na wykonawcę wszelkich możliwych </w:t>
      </w:r>
      <w:proofErr w:type="spellStart"/>
      <w:r w:rsidRPr="00F3282E">
        <w:rPr>
          <w:rFonts w:ascii="Verdana" w:eastAsia="MS Mincho" w:hAnsi="Verdana" w:cs="Arial"/>
          <w:sz w:val="18"/>
          <w:szCs w:val="18"/>
        </w:rPr>
        <w:t>ryzyk</w:t>
      </w:r>
      <w:proofErr w:type="spellEnd"/>
      <w:r w:rsidRPr="00F3282E">
        <w:rPr>
          <w:rFonts w:ascii="Verdana" w:eastAsia="MS Mincho" w:hAnsi="Verdana" w:cs="Arial"/>
          <w:sz w:val="18"/>
          <w:szCs w:val="18"/>
        </w:rPr>
        <w:t xml:space="preserve">, jakie mogą zaistnieć przy wykonywaniu przedmiotu umowy. Ocena ryzyka powinna być możliwa na podstawie opisu przedmiotu zamówienia, z uwzględnieniem innych okoliczności (np. ewentualnie wizji lokalnej terenu, na którym mają być wykonywane roboty), w związku z czym jeżeli dokumentacja (w tym </w:t>
      </w:r>
      <w:proofErr w:type="spellStart"/>
      <w:r w:rsidRPr="00F3282E">
        <w:rPr>
          <w:rFonts w:ascii="Verdana" w:eastAsia="MS Mincho" w:hAnsi="Verdana" w:cs="Arial"/>
          <w:sz w:val="18"/>
          <w:szCs w:val="18"/>
        </w:rPr>
        <w:t>siwz</w:t>
      </w:r>
      <w:proofErr w:type="spellEnd"/>
      <w:r w:rsidRPr="00F3282E">
        <w:rPr>
          <w:rFonts w:ascii="Verdana" w:eastAsia="MS Mincho" w:hAnsi="Verdana" w:cs="Arial"/>
          <w:sz w:val="18"/>
          <w:szCs w:val="18"/>
        </w:rPr>
        <w:t>) nie została sporządzona w jasny i jednoznaczny sposób, zaś wizja lokalna nie dawała podstawy do zakwestionowania opisu przedmiotu zamówienia (i zwrócenia uwagi zamawiającemu), ryzyko nieprzewidzianych zdarzeń obciąża zamawiającego, a nie wykonawcę.”</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 xml:space="preserve">Tożsame stanowisko zajmuje również Krajowa Izba Odwoławcza. Tytułem przykładu wskazuję wyrok z dnia 8 października 2018 r., wydany w sprawie o sygnaturze akt KIO 1878/18: „Obowiązkiem zamawiającego jest podjęcie wszelkich możliwych środków w celu wyeliminowania elementu niepewności wykonawców co do przedmiotu zamówienia poprzez maksymalnie jednoznaczne i wyczerpujące określenie przedmiotu zamówienia. Nie może usprawiedliwiać braku wyczerpującego opisu przedmiotu zamówienia stwierdzenie, że wykonawca winien uwzględnić w wycenie zamówienia wszystkie ryzyka. Podkreślić bowiem należy, że wycena </w:t>
      </w:r>
      <w:proofErr w:type="spellStart"/>
      <w:r w:rsidRPr="00F3282E">
        <w:rPr>
          <w:rFonts w:ascii="Verdana" w:eastAsia="MS Mincho" w:hAnsi="Verdana" w:cs="Arial"/>
          <w:sz w:val="18"/>
          <w:szCs w:val="18"/>
        </w:rPr>
        <w:t>ryzyk</w:t>
      </w:r>
      <w:proofErr w:type="spellEnd"/>
      <w:r w:rsidRPr="00F3282E">
        <w:rPr>
          <w:rFonts w:ascii="Verdana" w:eastAsia="MS Mincho" w:hAnsi="Verdana" w:cs="Arial"/>
          <w:sz w:val="18"/>
          <w:szCs w:val="18"/>
        </w:rPr>
        <w:t xml:space="preserve"> związanych z wykonaniem zamówienia może być niemożliwa właśnie ze względu na niewłaściwy opis przedmiotu zamówienia. Nie można bowiem wyliczyć ewentualnego kosztu ryzyka, którego wykonawca nie ma możliwości zidentyfikować z uwagi na brak odpowiedniej i wyczerpującej informacji w SIWZ.”</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17.</w:t>
      </w:r>
      <w:r w:rsidRPr="00F3282E">
        <w:rPr>
          <w:rFonts w:ascii="Verdana" w:eastAsia="MS Mincho" w:hAnsi="Verdana" w:cs="Arial"/>
          <w:sz w:val="18"/>
          <w:szCs w:val="18"/>
        </w:rPr>
        <w:tab/>
        <w:t>W tym zakresie wnoszę o wykreślnie § 2 ust. 1 wzoru umowy.</w:t>
      </w: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 xml:space="preserve">Odpowiedź: </w:t>
      </w: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Zamawiający przewiduje zorganizowanie wizji lokalnej. Osoby delegowane przez zainteresowane firmy proszone są o zgłoszenie się w dniu 26.08.2020 r. o godz. 10:00 przed wejściem głównym do budynku B-1 AGH w Krakowie.</w:t>
      </w: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[AD. 4]</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18.</w:t>
      </w:r>
      <w:r w:rsidRPr="00F3282E">
        <w:rPr>
          <w:rFonts w:ascii="Verdana" w:eastAsia="MS Mincho" w:hAnsi="Verdana" w:cs="Arial"/>
          <w:sz w:val="18"/>
          <w:szCs w:val="18"/>
        </w:rPr>
        <w:tab/>
        <w:t>W Specyfikacji Technicznej Wykonania i Odbioru Robót Budowlanych, jak również w  Projekcie Budowlano-Wykonawczym Zamawiający określił, że „Zgodnie z treścią art. 29 ust. 3 Ustawy Prawo Zamówień Publicznych, nie jest możliwe na etapie projektu wykonawczego dobranie wielkości grzejników czy nastaw na zaworach bez przyjęcia ich konkretnego typu, Użyte w dokumentacji projektowej nazwy należy traktować jako definicję standardu. Użycie nazwy nie oznacza, że tylko te konkretne elementy mogą być zastosowane. Dopuszcza się zastosowanie przez wykonawcę innego typu rurociągów, armatury, urządzeń czy grzejników, pod warunkiem zastosowania materiałów „równoważnych” o parametrach nie gorszych od tych przyjętych w projekcie. Zastosowanie elementów „równoważnych” wymaga uzgodnienia z projektantem i Inwestorem. W przypadku zastosowania elementów „równoważnych” wpływających na nastawy na zaworach, Wykonawca zobowiązany będzie do wykonania nowych obliczeń hydraulicznych instalacji. Każdorazowo, Wykonawca zobowiązany jest stosować materiały posiadające odpowiednie aprobaty, atesty i dopuszczenia.”.</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Grzejniki zostały przez Zamawiającego określone jako „CN-</w:t>
      </w:r>
      <w:proofErr w:type="spellStart"/>
      <w:r w:rsidRPr="00F3282E">
        <w:rPr>
          <w:rFonts w:ascii="Verdana" w:eastAsia="MS Mincho" w:hAnsi="Verdana" w:cs="Arial"/>
          <w:sz w:val="18"/>
          <w:szCs w:val="18"/>
        </w:rPr>
        <w:t>xxxx</w:t>
      </w:r>
      <w:proofErr w:type="spellEnd"/>
      <w:r w:rsidRPr="00F3282E">
        <w:rPr>
          <w:rFonts w:ascii="Verdana" w:eastAsia="MS Mincho" w:hAnsi="Verdana" w:cs="Arial"/>
          <w:sz w:val="18"/>
          <w:szCs w:val="18"/>
        </w:rPr>
        <w:t xml:space="preserve">”, co jednoznacznie wskazuje na jednego producenta - Vogel and </w:t>
      </w:r>
      <w:proofErr w:type="spellStart"/>
      <w:r w:rsidRPr="00F3282E">
        <w:rPr>
          <w:rFonts w:ascii="Verdana" w:eastAsia="MS Mincho" w:hAnsi="Verdana" w:cs="Arial"/>
          <w:sz w:val="18"/>
          <w:szCs w:val="18"/>
        </w:rPr>
        <w:t>Noot</w:t>
      </w:r>
      <w:proofErr w:type="spellEnd"/>
      <w:r w:rsidRPr="00F3282E">
        <w:rPr>
          <w:rFonts w:ascii="Verdana" w:eastAsia="MS Mincho" w:hAnsi="Verdana" w:cs="Arial"/>
          <w:sz w:val="18"/>
          <w:szCs w:val="18"/>
        </w:rPr>
        <w:t xml:space="preserve"> produkującego grzejniki o nazwie </w:t>
      </w:r>
      <w:proofErr w:type="spellStart"/>
      <w:r w:rsidRPr="00F3282E">
        <w:rPr>
          <w:rFonts w:ascii="Verdana" w:eastAsia="MS Mincho" w:hAnsi="Verdana" w:cs="Arial"/>
          <w:sz w:val="18"/>
          <w:szCs w:val="18"/>
        </w:rPr>
        <w:t>Cosmonova</w:t>
      </w:r>
      <w:proofErr w:type="spellEnd"/>
      <w:r w:rsidRPr="00F3282E">
        <w:rPr>
          <w:rFonts w:ascii="Verdana" w:eastAsia="MS Mincho" w:hAnsi="Verdana" w:cs="Arial"/>
          <w:sz w:val="18"/>
          <w:szCs w:val="18"/>
        </w:rPr>
        <w:t>. Z kolei zawory zostały określone jako „RA-N – RA-P”, co jednoznacznie wskazuje na jednego producenta Danfoss.</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19.</w:t>
      </w:r>
      <w:r w:rsidRPr="00F3282E">
        <w:rPr>
          <w:rFonts w:ascii="Verdana" w:eastAsia="MS Mincho" w:hAnsi="Verdana" w:cs="Arial"/>
          <w:sz w:val="18"/>
          <w:szCs w:val="18"/>
        </w:rPr>
        <w:tab/>
        <w:t xml:space="preserve">Zgodnie z art. 29 ust. 3 ustawy </w:t>
      </w:r>
      <w:proofErr w:type="spellStart"/>
      <w:r w:rsidRPr="00F3282E">
        <w:rPr>
          <w:rFonts w:ascii="Verdana" w:eastAsia="MS Mincho" w:hAnsi="Verdana" w:cs="Arial"/>
          <w:sz w:val="18"/>
          <w:szCs w:val="18"/>
        </w:rPr>
        <w:t>Pzp</w:t>
      </w:r>
      <w:proofErr w:type="spellEnd"/>
      <w:r w:rsidRPr="00F3282E">
        <w:rPr>
          <w:rFonts w:ascii="Verdana" w:eastAsia="MS Mincho" w:hAnsi="Verdana" w:cs="Arial"/>
          <w:sz w:val="18"/>
          <w:szCs w:val="18"/>
        </w:rPr>
        <w:t xml:space="preserve"> przedmiotu zamówienia nie można opisywać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zamawiający nie może opisać przedmiotu zamówienia za pomocą dostatecznie dokładnych określeń, a wskazaniu takiemu towarzyszą wyrazy „lub równoważny”.</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Oznacza to, że zasadą jest, że przedmiotu zamówienia nie można opisywać przez wskazanie znaków towarowych patentów lub pochodzenia, źródła lub szczególnego procesu, który charakteryzuje produkty lub usługi dostarczane przez konkretnego wykonawcę.</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Odstępstwo od tej zasady wymaga łącznego spełnienia trzech warunków:</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1)</w:t>
      </w:r>
      <w:r w:rsidRPr="00F3282E">
        <w:rPr>
          <w:rFonts w:ascii="Verdana" w:eastAsia="MS Mincho" w:hAnsi="Verdana" w:cs="Arial"/>
          <w:sz w:val="18"/>
          <w:szCs w:val="18"/>
        </w:rPr>
        <w:tab/>
        <w:t>jest to uzasadnione specyfiką przedmiotu zamówienia;</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2)</w:t>
      </w:r>
      <w:r w:rsidRPr="00F3282E">
        <w:rPr>
          <w:rFonts w:ascii="Verdana" w:eastAsia="MS Mincho" w:hAnsi="Verdana" w:cs="Arial"/>
          <w:sz w:val="18"/>
          <w:szCs w:val="18"/>
        </w:rPr>
        <w:tab/>
        <w:t>zamawiający nie może opisać przedmiotu zamówienia za pomocą dostatecznie dokładnych określeń;</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3)</w:t>
      </w:r>
      <w:r w:rsidRPr="00F3282E">
        <w:rPr>
          <w:rFonts w:ascii="Verdana" w:eastAsia="MS Mincho" w:hAnsi="Verdana" w:cs="Arial"/>
          <w:sz w:val="18"/>
          <w:szCs w:val="18"/>
        </w:rPr>
        <w:tab/>
        <w:t>wskazaniu takiemu towarzyszą wyrazy „lub równoważny”.</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 niniejszym przypadku nie zostały spełnione przesłanki 2 oraz 3.</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20.</w:t>
      </w:r>
      <w:r w:rsidRPr="00F3282E">
        <w:rPr>
          <w:rFonts w:ascii="Verdana" w:eastAsia="MS Mincho" w:hAnsi="Verdana" w:cs="Arial"/>
          <w:sz w:val="18"/>
          <w:szCs w:val="18"/>
        </w:rPr>
        <w:tab/>
        <w:t>Wbrew twierdzeniom Zamawiającego jest możliwe dobranie grzejników czy nastaw na zaworach bez przyjęcia ich konkretnego typu. Zamawiający miał możliwość opisać grzejniki za pomocy takich parametrów, jak:</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wymagana moc;</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rodzaj zasilania (boczne lub dolne);</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ilość płyt;</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maksymalną wysokość;</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maksymalna długość.</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Z kolei zawory mogły zostać przez Zamawiającego opisane poprzez:</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materiał wykonania;</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średnica nominalna;</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określenie, czy ma posiadać nastawkę, czy też nie;</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zakres nastaw.</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Zamawiający mógł więc opisać grzejniki i nastawy bez użycia wskazania na konkretnego producenta i konkretny produkt.</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21.</w:t>
      </w:r>
      <w:r w:rsidRPr="00F3282E">
        <w:rPr>
          <w:rFonts w:ascii="Verdana" w:eastAsia="MS Mincho" w:hAnsi="Verdana" w:cs="Arial"/>
          <w:sz w:val="18"/>
          <w:szCs w:val="18"/>
        </w:rPr>
        <w:tab/>
        <w:t>Ponadto wskazuję, że nawet jeżeli przyjmiemy, że Zamawiający nie miał możliwości opisać grzejników czy nastaw na zaworach za pomocą dostatecznie dokładnych określeń, a jedynie poprzez wskazanie konkretnego typu, to i tak powinien dokładnie określić granice równoważności.</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22.</w:t>
      </w:r>
      <w:r w:rsidRPr="00F3282E">
        <w:rPr>
          <w:rFonts w:ascii="Verdana" w:eastAsia="MS Mincho" w:hAnsi="Verdana" w:cs="Arial"/>
          <w:sz w:val="18"/>
          <w:szCs w:val="18"/>
        </w:rPr>
        <w:tab/>
        <w:t>W orzecznictwie Krajowej Izby Odwoławczej podkreśla się, że w przypadku gdy Zamawiający dopuszcza rozwiązania równoważne, to jest zobowiązany opisać w SIWZ parametry (przedział parametrów), których spełnienie spowoduje, że rozwiązanie równoważne zostanie uznane (tzw. „parametry równoważności). W przeciwnym wypadku bowiem wykonawcy nie będą wiedzieć, które parametry rozwiązania referencyjnego są uznawane przez Zamawiającego za istotne, a które nie. A w konsekwencji wykonawca będzie musiał tak naprawdę zaoferować tylko i wyłącznie rozwiązanie referencyjne. Tytułem przykładu wskazuję wyrok Krajowej Izby Odwoławczej z dnia 10 stycznia 2019 r. wydany w sprawie o sygnaturze akt KIO 2638/18: „Rozwiązanie równoważne nie musi być rozwiązaniem identycznym z rozwiązaniem referencyjnym. Dostrzec należy, że co do zasady urządzenia referencyjne składają się z całego konglomeratu cech technicznych, z których niektóre mają charakter kluczowy, inne zaś są pozbawione większego znaczenia. Konieczność aby wszystkie bez wyjątku parametry techniczne były równe lub lepsze jest niewykonalne i wymusza na wykonawcach obowiązek zaoferowania wyłącznie rozwiązania referencyjnego, czyniąc dopuszczenie równoważności pozornym. Nawet bowiem urządzenie o klasę wyższe od referencyjnego może zawierać jakiś nieistotny parametr techniczny, który będzie gorszy od parametrów rozwiązania referencyjnego, co może skutkować ryzykiem odrzucenia takiej oferty. Ponadto taki zapis zastrzega dla zamawiającego możliwość dowolnej oceny ofert, gdyż dopiero w trakcie ich badania wykonawcy mogą dowiedzieć się, które de facto parametry techniczne są dla zamawiającego istotne, a które nie. W takich przypadkach jak opisane powyżej, zamawiający ma obowiązek opisać w SIWZ parametry (przedział parametrów), których spełnienie spowoduje, że rozwiązanie równoważne zostanie uznane (tzw. „parametry równoważności). Zamawiający, dopuszczając równoważność produktów, winien sprecyzować zakres minimalnych parametrów, w oparciu o które dokona oceny spełnienia wymagań określonych w SIWZ. Wymogi co do równoważności produktów winny być podane w sposób przejrzysty i jasny, tak, aby z jednej strony zamawiający mógł w sposób jednoznaczny przesądzić kwestię równoważności zaoferowanych produktów, z drugiej zaś strony, aby wykonawcy przystępujący do udziału w postępowaniu przetargowym mieli jasność co do oczekiwań zamawiającego w zakresie właściwości istotnych cech charakteryzujących przedmiot zamówienia.”</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23.</w:t>
      </w:r>
      <w:r w:rsidRPr="00F3282E">
        <w:rPr>
          <w:rFonts w:ascii="Verdana" w:eastAsia="MS Mincho" w:hAnsi="Verdana" w:cs="Arial"/>
          <w:sz w:val="18"/>
          <w:szCs w:val="18"/>
        </w:rPr>
        <w:tab/>
        <w:t xml:space="preserve">Podobnie zupełnie niezrozumiałe jest określenie, że „Zastosowanie elementów „równoważnych” wymaga uzgodnienia z projektantem i Inwestorem.” To na Zamawiającym spoczywa obowiązek opisania przedmiotu zamówienia, w taki sposób, żeby weryfikacja okoliczności, czy rozwiązanie równoważne spełnia wymagania Zamawiającego było możliwe już na etapie badania i oceny ofert, a nie dopiero na etapie realizacji umowy. </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 xml:space="preserve">Ponadto zwracam uwagę, że Zamawiający powinien już w treści </w:t>
      </w:r>
      <w:proofErr w:type="spellStart"/>
      <w:r w:rsidRPr="00F3282E">
        <w:rPr>
          <w:rFonts w:ascii="Verdana" w:eastAsia="MS Mincho" w:hAnsi="Verdana" w:cs="Arial"/>
          <w:sz w:val="18"/>
          <w:szCs w:val="18"/>
        </w:rPr>
        <w:t>oerty</w:t>
      </w:r>
      <w:proofErr w:type="spellEnd"/>
      <w:r w:rsidRPr="00F3282E">
        <w:rPr>
          <w:rFonts w:ascii="Verdana" w:eastAsia="MS Mincho" w:hAnsi="Verdana" w:cs="Arial"/>
          <w:sz w:val="18"/>
          <w:szCs w:val="18"/>
        </w:rPr>
        <w:t xml:space="preserve"> wymagać od wykonawców przedstawienia deklaracji lub dokumentów wykazujących równoważność zaoferowanych rozwiązań (odnosząc się do szczegółowo określonych przez Zamawiającego parametrów równoważności). Tylko w ten sposób Zamawiający będzie mógł zweryfikować, czy zaoferowane przez wykonawców rozwiązania równoważne faktycznie spełniają kryteria równoważności. </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24.</w:t>
      </w:r>
      <w:r w:rsidRPr="00F3282E">
        <w:rPr>
          <w:rFonts w:ascii="Verdana" w:eastAsia="MS Mincho" w:hAnsi="Verdana" w:cs="Arial"/>
          <w:sz w:val="18"/>
          <w:szCs w:val="18"/>
        </w:rPr>
        <w:tab/>
        <w:t>Podobne uwagi dotyczą postanowienia „W przypadku zastosowania elementów „równoważnych” wpływających na nastawy na zaworach, Wykonawca zobowiązany będzie do wykonania nowych obliczeń hydraulicznych instalacji.”.</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 xml:space="preserve">Zgodnie z przepisami ustawy z dnia 7 lipca 1994 r. – Prawo budowlane  jest to obowiązek, który obciąża wyłącznie projektanta. </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25.</w:t>
      </w:r>
      <w:r w:rsidRPr="00F3282E">
        <w:rPr>
          <w:rFonts w:ascii="Verdana" w:eastAsia="MS Mincho" w:hAnsi="Verdana" w:cs="Arial"/>
          <w:sz w:val="18"/>
          <w:szCs w:val="18"/>
        </w:rPr>
        <w:tab/>
        <w:t>W tym zakresie wnoszę o:</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opisanie przedmiotu zamówienia w zakresie grzejników i nastaw na zaworach bez przyjęcia ich konkretnego typu;</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jeżeli opisanie przedmiotu zamówienia w zakresie grzejników i nastaw na zaworach bez przyjęcia ich konkretnego typu mimo wszystko nie byłoby możliwe – opisanie granic równoważności w taki sposób, żeby wykonawcy mieli możliwość weryfikacji, które parametry rozwiązania referencyjnego są dla Zamawiającego istotne, a w konsekwencji mogli skutecznie zaoferować rozwiązanie inne niż rozwiązanie referencyjne;</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dodanie wymogu przedstawienia w treści oferty deklaracji lub dokumentów wykazujących równoważność zaoferowanych rozwiązań, tak aby możliwość weryfikacji była możliwa na etapie badania i oceny ofert;</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usunięcie postanowienia „Zastosowanie elementów „równoważnych” wymaga uzgodnienia z projektantem i Inwestorem.”;</w:t>
      </w: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w:t>
      </w:r>
      <w:r w:rsidRPr="00F3282E">
        <w:rPr>
          <w:rFonts w:ascii="Verdana" w:eastAsia="MS Mincho" w:hAnsi="Verdana" w:cs="Arial"/>
          <w:sz w:val="18"/>
          <w:szCs w:val="18"/>
        </w:rPr>
        <w:tab/>
        <w:t>usunięcie postanowienia „W przypadku zastosowania elementów „równoważnych” wpływających na nastawy na zaworach, Wykonawca zobowiązany będzie do wykonania nowych obliczeń hydraulicznych instalacji.”</w:t>
      </w:r>
    </w:p>
    <w:p w:rsidR="00D47549" w:rsidRPr="00F3282E" w:rsidRDefault="00D47549" w:rsidP="00D47549">
      <w:pPr>
        <w:pStyle w:val="Zwykytekst1"/>
        <w:ind w:right="600"/>
        <w:jc w:val="both"/>
        <w:rPr>
          <w:rFonts w:ascii="Verdana" w:eastAsia="MS Mincho" w:hAnsi="Verdana" w:cs="Arial"/>
          <w:sz w:val="18"/>
          <w:szCs w:val="18"/>
        </w:rPr>
      </w:pPr>
    </w:p>
    <w:p w:rsidR="00D47549" w:rsidRPr="00F3282E" w:rsidRDefault="00D47549" w:rsidP="00D47549">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Odpowiedź:</w:t>
      </w: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Zamawiający zamieszcza uzupełnienie do dokumentacji projektowej pod linkiem:</w:t>
      </w:r>
    </w:p>
    <w:p w:rsidR="00D47549" w:rsidRPr="00F3282E" w:rsidRDefault="00D47549" w:rsidP="00D47549">
      <w:pPr>
        <w:pStyle w:val="Zwykytekst1"/>
        <w:ind w:right="600"/>
        <w:jc w:val="both"/>
        <w:rPr>
          <w:rFonts w:ascii="Verdana" w:eastAsia="MS Mincho" w:hAnsi="Verdana" w:cs="Arial"/>
          <w:b/>
          <w:sz w:val="18"/>
          <w:szCs w:val="18"/>
        </w:rPr>
      </w:pP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http://di.adm.agh.edu.pl/przetargi/di/zj/NA-H-B1B2-Remont-instalacji-co.zip</w:t>
      </w:r>
    </w:p>
    <w:p w:rsidR="00D47549" w:rsidRPr="00F3282E" w:rsidRDefault="00D47549" w:rsidP="00D47549">
      <w:pPr>
        <w:pStyle w:val="Zwykytekst1"/>
        <w:ind w:right="600" w:firstLine="709"/>
        <w:jc w:val="both"/>
        <w:rPr>
          <w:rFonts w:ascii="Verdana" w:eastAsia="MS Mincho" w:hAnsi="Verdana" w:cs="Arial"/>
          <w:b/>
          <w:sz w:val="18"/>
          <w:szCs w:val="18"/>
        </w:rPr>
      </w:pP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 xml:space="preserve">Nadzorem autorskim nr 1 wprowadzono pkt. nr 10, w którym uzupełniono zapis dotyczący zakresu parametrów równoważnych dotyczący całej dokumentacji technicznej, w tym również </w:t>
      </w:r>
      <w:proofErr w:type="spellStart"/>
      <w:r w:rsidRPr="00F3282E">
        <w:rPr>
          <w:rFonts w:ascii="Verdana" w:eastAsia="MS Mincho" w:hAnsi="Verdana" w:cs="Arial"/>
          <w:b/>
          <w:sz w:val="18"/>
          <w:szCs w:val="18"/>
        </w:rPr>
        <w:t>STWiORB</w:t>
      </w:r>
      <w:proofErr w:type="spellEnd"/>
      <w:r w:rsidRPr="00F3282E">
        <w:rPr>
          <w:rFonts w:ascii="Verdana" w:eastAsia="MS Mincho" w:hAnsi="Verdana" w:cs="Arial"/>
          <w:b/>
          <w:sz w:val="18"/>
          <w:szCs w:val="18"/>
        </w:rPr>
        <w:t>. Ze względu na konieczność podania konkretnych nastaw na zaworach termostatycznych przy grzejnikach, co jest wymagane przy opracowywaniu projektu wykonawczego instalacji c.o. uwzględniającego regulację hydrauliczną instalacji, w projekcie dla tych potrzeb przyjęto konkretne typy grzejników i zaworów przy i za grzejnikowych. Nie oznacza, że tylko te konkretne elementy mogą być zastosowane. Dopuszcza się zastosowanie przez Wykonawcę innego typu armatury czy grzejników, pod warunkiem zastosowania materiałów „równoważnych”. Zakres parametrów przy spełnieniu kryterium „równoważności” podano w projekcie (Nadzór Autorski nr 1) w pkt. 10. Ponadto do projektu (Nadzór Autorski nr 1) wprowadzono w pkt. nr 1 zapis, „Zastosowanie elementów „równoważnych” wymaga uzgodnienia z Inwestorem”.</w:t>
      </w:r>
    </w:p>
    <w:p w:rsidR="00D47549" w:rsidRPr="00F3282E" w:rsidRDefault="00D47549" w:rsidP="00D47549">
      <w:pPr>
        <w:pStyle w:val="Zwykytekst1"/>
        <w:ind w:right="600"/>
        <w:jc w:val="both"/>
        <w:rPr>
          <w:rFonts w:ascii="Verdana" w:eastAsia="MS Mincho" w:hAnsi="Verdana" w:cs="Arial"/>
          <w:b/>
          <w:sz w:val="18"/>
          <w:szCs w:val="18"/>
        </w:rPr>
      </w:pPr>
      <w:r w:rsidRPr="00F3282E">
        <w:rPr>
          <w:rFonts w:ascii="Verdana" w:eastAsia="MS Mincho" w:hAnsi="Verdana" w:cs="Arial"/>
          <w:b/>
          <w:sz w:val="18"/>
          <w:szCs w:val="18"/>
        </w:rPr>
        <w:t>Za wykonanie obliczeń hydraulicznych odpowiada projektant na etapie wykonywania projektu, co zostało uczynione. Na etapie prac wykonawczych rolą projektanta jest sprawowanie nadzoru autorskiego na żądanie Zamawiającego lub właściwego organu w zakresie stwierdzania w toku wykonywania robót budowlanych zgodności realizacji z projektem oraz uzgadniania możliwości wprowadzenia rozwiązań zamiennych w stosunku do przewidzianych w projekcie, zgłoszonych przez kierownika budowy lub inspektora nadzoru inwestorskiego. Nie należy do obowiązków projektanta w ramach pełnionego na życzenie Zamawiającego nadzoru wykonywanie obliczeń hydraulicznych na życzenie Wykonawcy, należy natomiast do niego w tym przypadku sprawdzenie tych obliczeń i potwierdzenie, że zastosowanie tych konkretnych zapewni funkcjonowanie instalacji w sposób zgodny z założeniem projektowym. Zwracamy  uwagę, że ideą przedmiotu zamówienia nie jest montaż elementów instalacji c.o., ale również prawidłowej jej wyregulowanie, co odbywa się poprzez ustawienie konkretnej nastawy na konkretnym zaworze. Nastawy są różne w zależności od zastosowanego typu zaworu i charakterystyki zastosowanych grzejników. Ustawienie prawidłowych nastaw na zaworach, tj., zapewnienie prawidłowego funkcjonowania instalacji leży po stronie Wykonawcy. Zatem bez wykonania obliczeń hydraulicznych przy zastosowaniu innych niż zaproponowano w projekcie urządzeń nie jest możliwe. Brak przedstawienia obliczeń przez Wykonawcę z doboru nastaw uniemożliwia projektantowi sprawdzenie tych obliczeń, a inspektorowi nadzoru weryfikację prawidłowości wyregulowania instalacji zgodnie z</w:t>
      </w:r>
      <w:r>
        <w:rPr>
          <w:rFonts w:ascii="Verdana" w:eastAsia="MS Mincho" w:hAnsi="Verdana" w:cs="Arial"/>
          <w:b/>
          <w:sz w:val="18"/>
          <w:szCs w:val="18"/>
        </w:rPr>
        <w:t> </w:t>
      </w:r>
      <w:r w:rsidRPr="00F3282E">
        <w:rPr>
          <w:rFonts w:ascii="Verdana" w:eastAsia="MS Mincho" w:hAnsi="Verdana" w:cs="Arial"/>
          <w:b/>
          <w:sz w:val="18"/>
          <w:szCs w:val="18"/>
        </w:rPr>
        <w:t>projektem.</w:t>
      </w:r>
    </w:p>
    <w:p w:rsidR="00D47549" w:rsidRDefault="00D47549" w:rsidP="00D47549">
      <w:pPr>
        <w:pStyle w:val="Zwykytekst1"/>
        <w:ind w:right="600"/>
        <w:jc w:val="both"/>
        <w:rPr>
          <w:rFonts w:ascii="Verdana" w:hAnsi="Verdana"/>
          <w:b/>
          <w:sz w:val="18"/>
          <w:szCs w:val="18"/>
        </w:rPr>
      </w:pPr>
      <w:r w:rsidRPr="00F3282E">
        <w:rPr>
          <w:rFonts w:ascii="Verdana" w:hAnsi="Verdana"/>
          <w:b/>
          <w:sz w:val="18"/>
          <w:szCs w:val="18"/>
        </w:rPr>
        <w:t>Jednocześnie Zamawiający informuje, że nie zmienia zapisów SIWZ w zakresie dotyczącym dokumentów – ocena ofert w tym zaproponowanych rozwiązań nastąpi na podstawie ogólnego oświadczenia Wykonawcy złożonego w treści oferty.</w:t>
      </w:r>
    </w:p>
    <w:p w:rsidR="00F505FF" w:rsidRDefault="00F505FF" w:rsidP="00D47549">
      <w:pPr>
        <w:pStyle w:val="Zwykytekst1"/>
        <w:ind w:right="600"/>
        <w:jc w:val="both"/>
        <w:rPr>
          <w:rFonts w:ascii="Verdana" w:hAnsi="Verdana"/>
          <w:b/>
          <w:sz w:val="18"/>
          <w:szCs w:val="18"/>
        </w:rPr>
      </w:pPr>
    </w:p>
    <w:p w:rsidR="00F505FF" w:rsidRPr="00F3282E" w:rsidRDefault="00F505FF" w:rsidP="00F505FF">
      <w:pPr>
        <w:pStyle w:val="Zwykytekst1"/>
        <w:ind w:right="600"/>
        <w:jc w:val="both"/>
        <w:rPr>
          <w:rFonts w:ascii="Verdana" w:eastAsia="MS Mincho" w:hAnsi="Verdana" w:cs="Arial"/>
          <w:sz w:val="18"/>
          <w:szCs w:val="18"/>
        </w:rPr>
      </w:pPr>
      <w:r w:rsidRPr="00F3282E">
        <w:rPr>
          <w:rFonts w:ascii="Verdana" w:eastAsia="MS Mincho" w:hAnsi="Verdana" w:cs="Arial"/>
          <w:sz w:val="18"/>
          <w:szCs w:val="18"/>
        </w:rPr>
        <w:t>[AD. 4]</w:t>
      </w:r>
    </w:p>
    <w:p w:rsidR="00F505FF" w:rsidRPr="00F3282E" w:rsidRDefault="00F505FF" w:rsidP="00D47549">
      <w:pPr>
        <w:pStyle w:val="Zwykytekst1"/>
        <w:ind w:right="600"/>
        <w:jc w:val="both"/>
        <w:rPr>
          <w:rFonts w:ascii="Verdana" w:eastAsia="MS Mincho" w:hAnsi="Verdana" w:cs="Arial"/>
          <w:b/>
          <w:sz w:val="18"/>
          <w:szCs w:val="18"/>
        </w:rPr>
      </w:pPr>
      <w:r>
        <w:rPr>
          <w:rFonts w:ascii="Verdana" w:eastAsia="MS Mincho" w:hAnsi="Verdana" w:cs="Arial"/>
          <w:b/>
          <w:sz w:val="18"/>
          <w:szCs w:val="18"/>
        </w:rPr>
        <w:t xml:space="preserve">Czy ustalona przez Państwa na podstawie art. 32-35 ustawy z dnia 29 stycznia 2004 – </w:t>
      </w:r>
      <w:proofErr w:type="spellStart"/>
      <w:r>
        <w:rPr>
          <w:rFonts w:ascii="Verdana" w:eastAsia="MS Mincho" w:hAnsi="Verdana" w:cs="Arial"/>
          <w:b/>
          <w:sz w:val="18"/>
          <w:szCs w:val="18"/>
        </w:rPr>
        <w:t>Pzp</w:t>
      </w:r>
      <w:proofErr w:type="spellEnd"/>
      <w:r>
        <w:rPr>
          <w:rFonts w:ascii="Verdana" w:eastAsia="MS Mincho" w:hAnsi="Verdana" w:cs="Arial"/>
          <w:b/>
          <w:sz w:val="18"/>
          <w:szCs w:val="18"/>
        </w:rPr>
        <w:t xml:space="preserve"> (tekst jednolity Dz. U. z 2019 r. poz. 1843) wartość szacunkowa zamówienia przekracza równowartość kwoty 30 000 euro.</w:t>
      </w:r>
    </w:p>
    <w:p w:rsidR="0021206B" w:rsidRDefault="0021206B">
      <w:pPr>
        <w:pStyle w:val="Tekstpodstawowywcity3"/>
        <w:spacing w:line="240" w:lineRule="auto"/>
        <w:ind w:firstLine="0"/>
        <w:rPr>
          <w:rFonts w:ascii="Verdana" w:hAnsi="Verdana"/>
          <w:sz w:val="20"/>
        </w:rPr>
      </w:pPr>
    </w:p>
    <w:p w:rsidR="00F505FF" w:rsidRDefault="00F505FF" w:rsidP="00AB5D27">
      <w:pPr>
        <w:pStyle w:val="Tekstpodstawowywcity3"/>
        <w:spacing w:line="240" w:lineRule="auto"/>
        <w:ind w:right="623" w:firstLine="0"/>
        <w:rPr>
          <w:rFonts w:ascii="Verdana" w:hAnsi="Verdana"/>
          <w:sz w:val="20"/>
        </w:rPr>
      </w:pPr>
      <w:r>
        <w:rPr>
          <w:rFonts w:ascii="Verdana" w:hAnsi="Verdana"/>
          <w:sz w:val="20"/>
        </w:rPr>
        <w:t xml:space="preserve">Szacunkowa wartość przedmiotu zamówienia w </w:t>
      </w:r>
      <w:r w:rsidR="00AB5D27">
        <w:rPr>
          <w:rFonts w:ascii="Verdana" w:hAnsi="Verdana"/>
          <w:sz w:val="20"/>
        </w:rPr>
        <w:t xml:space="preserve">ww. </w:t>
      </w:r>
      <w:r>
        <w:rPr>
          <w:rFonts w:ascii="Verdana" w:hAnsi="Verdana"/>
          <w:sz w:val="20"/>
        </w:rPr>
        <w:t xml:space="preserve">postępowaniu o udzielenie zamówienia publicznego nie przekracza wartości 30 000,00 euro. Roboty budowlane objęte niniejszym postępowaniem </w:t>
      </w:r>
      <w:r w:rsidR="00AB5D27">
        <w:rPr>
          <w:rFonts w:ascii="Verdana" w:hAnsi="Verdana"/>
          <w:sz w:val="20"/>
        </w:rPr>
        <w:t>są zamówieniem częściowym i przekraczają kwotę 30 000,00 euro.</w:t>
      </w:r>
      <w:bookmarkStart w:id="0" w:name="_GoBack"/>
      <w:bookmarkEnd w:id="0"/>
    </w:p>
    <w:p w:rsidR="00F505FF" w:rsidRPr="00315D72" w:rsidRDefault="00F505FF">
      <w:pPr>
        <w:pStyle w:val="Tekstpodstawowywcity3"/>
        <w:spacing w:line="240" w:lineRule="auto"/>
        <w:ind w:firstLine="0"/>
        <w:rPr>
          <w:rFonts w:ascii="Verdana" w:hAnsi="Verdana"/>
          <w:sz w:val="20"/>
        </w:rPr>
      </w:pPr>
    </w:p>
    <w:p w:rsidR="0021206B" w:rsidRPr="00315D72" w:rsidRDefault="0021206B">
      <w:pPr>
        <w:spacing w:line="360" w:lineRule="auto"/>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8"/>
      <w:headerReference w:type="default" r:id="rId9"/>
      <w:footerReference w:type="even" r:id="rId10"/>
      <w:footerReference w:type="default" r:id="rId11"/>
      <w:headerReference w:type="first" r:id="rId12"/>
      <w:footerReference w:type="first" r:id="rId13"/>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E28" w:rsidRDefault="00166E28">
      <w:r>
        <w:separator/>
      </w:r>
    </w:p>
  </w:endnote>
  <w:endnote w:type="continuationSeparator" w:id="0">
    <w:p w:rsidR="00166E28" w:rsidRDefault="00166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E28" w:rsidRDefault="00166E28">
      <w:r>
        <w:separator/>
      </w:r>
    </w:p>
  </w:footnote>
  <w:footnote w:type="continuationSeparator" w:id="0">
    <w:p w:rsidR="00166E28" w:rsidRDefault="00166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8E1" w:rsidRDefault="00BA48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F505FF"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AB5D27"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409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6E28"/>
    <w:rsid w:val="000607BF"/>
    <w:rsid w:val="000A2D5C"/>
    <w:rsid w:val="000C4220"/>
    <w:rsid w:val="000D254E"/>
    <w:rsid w:val="001102A4"/>
    <w:rsid w:val="00130D1C"/>
    <w:rsid w:val="00166E28"/>
    <w:rsid w:val="00180DBD"/>
    <w:rsid w:val="0021206B"/>
    <w:rsid w:val="002405E1"/>
    <w:rsid w:val="00315D72"/>
    <w:rsid w:val="00333103"/>
    <w:rsid w:val="00347E12"/>
    <w:rsid w:val="003B15E7"/>
    <w:rsid w:val="003F7802"/>
    <w:rsid w:val="00476899"/>
    <w:rsid w:val="00542F2E"/>
    <w:rsid w:val="005A7BE4"/>
    <w:rsid w:val="0061472E"/>
    <w:rsid w:val="00721200"/>
    <w:rsid w:val="00775A72"/>
    <w:rsid w:val="007B12A7"/>
    <w:rsid w:val="00825F26"/>
    <w:rsid w:val="0083033C"/>
    <w:rsid w:val="00943AEF"/>
    <w:rsid w:val="009B3CE0"/>
    <w:rsid w:val="009F4EC1"/>
    <w:rsid w:val="00A17896"/>
    <w:rsid w:val="00A27DDB"/>
    <w:rsid w:val="00A45032"/>
    <w:rsid w:val="00AB5D27"/>
    <w:rsid w:val="00BA48E1"/>
    <w:rsid w:val="00C529DB"/>
    <w:rsid w:val="00C914F4"/>
    <w:rsid w:val="00CA338E"/>
    <w:rsid w:val="00CB1285"/>
    <w:rsid w:val="00D108D9"/>
    <w:rsid w:val="00D47549"/>
    <w:rsid w:val="00D74780"/>
    <w:rsid w:val="00D90657"/>
    <w:rsid w:val="00DD218F"/>
    <w:rsid w:val="00DD2AB3"/>
    <w:rsid w:val="00DF0345"/>
    <w:rsid w:val="00E5026B"/>
    <w:rsid w:val="00E700D7"/>
    <w:rsid w:val="00E76CE4"/>
    <w:rsid w:val="00F11888"/>
    <w:rsid w:val="00F255EB"/>
    <w:rsid w:val="00F271D3"/>
    <w:rsid w:val="00F47BC4"/>
    <w:rsid w:val="00F505FF"/>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customStyle="1" w:styleId="Zwykytekst1">
    <w:name w:val="Zwykły tekst1"/>
    <w:basedOn w:val="Normalny"/>
    <w:rsid w:val="00D47549"/>
    <w:pPr>
      <w:suppressAutoHyphens/>
    </w:pPr>
    <w:rPr>
      <w:rFonts w:ascii="Courier New" w:hAnsi="Courier New" w:cs="Courier New"/>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7</Pages>
  <Words>2483</Words>
  <Characters>16868</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Sylwia Lempart</dc:creator>
  <cp:keywords/>
  <dc:description/>
  <cp:lastModifiedBy>Sylwia Lempart</cp:lastModifiedBy>
  <cp:revision>2</cp:revision>
  <cp:lastPrinted>2020-08-24T11:45:00Z</cp:lastPrinted>
  <dcterms:created xsi:type="dcterms:W3CDTF">2020-08-24T11:50:00Z</dcterms:created>
  <dcterms:modified xsi:type="dcterms:W3CDTF">2020-08-24T11:50:00Z</dcterms:modified>
</cp:coreProperties>
</file>