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14/08/2020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S157</w:t>
      </w:r>
    </w:p>
    <w:p w:rsidR="005C306D" w:rsidRDefault="005C306D" w:rsidP="005C306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5C306D" w:rsidRDefault="005C306D" w:rsidP="005C306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5C306D" w:rsidRDefault="005C306D" w:rsidP="005C306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5C306D" w:rsidRDefault="005C306D" w:rsidP="005C306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5C306D" w:rsidRDefault="005C306D" w:rsidP="005C306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5C306D" w:rsidRDefault="005C306D" w:rsidP="005C306D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Roboty budowlane w zakresie obiektów budowlanych związanych ze szkolnictwem wyższym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157-380894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Roboty budowlane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5C306D" w:rsidRDefault="005C306D" w:rsidP="005C306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5C306D" w:rsidRDefault="005C306D" w:rsidP="005C306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Budowa budynku C-7 AGH w Krakowie. KC-zp.272-358/20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referencyjny: KC-zp.272-358/20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45214400 Roboty budowlane w zakresie obiektów budowlanych związanych ze szkolnictwem wyższym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Roboty budowlane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budowa budynku C-7 AGH w Krakowie. Inwestycja znajduje się w Krakowie przy ul. Czarnowiejskiej, na działkach nr 19/25, 48/2, 48/3, 49/1, 49/2, 19/47, w funkcjonalnym centrum miasta, w sąsiedztwie głównych arterii komunikacyjnych, na terenie kompleksu Akademii Górniczo-Hutniczej.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Od strony północnej budynek będzie sąsiadował z istniejącymi segmentami zrealizowanymi w I etapie – C5, C5.1, ścianami szczytowymi będzie przylegał: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od strony zachodniej do segmentu C6,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od strony wschodniej do istniejącego budynku C3,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natomiast od południa będzie sąsiadował z terenami zielonymi AGH.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Dane techniczne nowego budynku: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powierzchnia użytkowa: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piwnice 16,30,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parter 639,80,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1 piętro 594,20,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2 piętro 614,10,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3 piętro 589,60,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4 piętro 719,80,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5 piętro 557,50,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6 piętro 549,70,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razem 4 281,00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>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powierzchnia netto 5 850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>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powierzchnia zabudowy 1 260,00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>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kubatura 27 880,00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>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wysokość ok. 26,0 m.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Zakres zadania obejmuje: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Budowę nowego budynku C-7 dla potrzeb dydaktycznych wydziałów AGH (II etap inwestycji „Budowa Audytorium Maximum wraz z budynkiem administracyjno-dydaktyczno-biurowym, parkingiem podziemnym oraz infrastrukturą techniczną przy ul. Czarnowiejskiej w Krakowie”),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Zagospodarowanie najbliższych terenów sąsiednich, polegające na odtworzeniu i dostosowaniu istniejącego zagospodarowania terenu.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3. Prace budowlane w obrębie budynku C3, wynikających z jego połączenia z projektowanym budynkiem C7.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Wykonanie zasilania i przebudowa uzbrojenia energetycznego.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Wykonanie kanalizacji teletechnicznej oraz przyłącza teletechnicznego do budynku.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Wykonanie zewnętrznej instalacji kanalizacji sanitarnej i deszczowej oraz ogólnospławnej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7. Wykonanie zewnętrznego podłączenia instalacji wody.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8. Wykonanie zewnętrznego podłączenia centralnego ogrzewania.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wymaga zatrudnienia przez Wykonawcę lub Podwykonawcę na podstawie umowy o pracę, w sposób określony w art. 22 § 1 ustawy z dnia 26 czerwca 1974 r. – Kodeks pracy (Dz.U. z 2018 r. poz. 917), osób wykonujących czynności polegające na wykonaniu: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ziemnych,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demontażowych,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brukarskich,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prac ogrodniczych,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murarskich,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tynkarskich,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żelbetowych,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ślusarki wewnętrznej i zewnętrznej,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wykończeniowych,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— robót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ociepleniowych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i elewacyjnych,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układaniu kabli elektrycznych i teletechnicznych,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sanitarnych; wentylacji, klimatyzacji wraz z urządzeniami,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wod.-kan. wraz z urządzeniami,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c.o. wraz z urządzeniami,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instalacji, osprzętu i urządzeń elektrycznych w tym dźwigowych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objętych przedmiotem zamówienia. Wyżej określony wymóg dotyczy również podwykonawców wykonujących wskazane powyżej prace.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Wykonawca winien wykazać, że do wykonania przedmiotu zamówienia w zakresie elektrycznym zostaną skierowane: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co najmniej dwie osoby posiadające aktualne świadectwo kwalifikacyjne uprawniające do zajmowania się eksploatacją urządzeń na stanowisku dozoru (D) w zakresie obsługi, konserwacji, remontów, montażu, kontrolno-pomiarowym dla urządzeń, instalacji i sieci „Grupa 1";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co najmniej dwie osoby posiadające aktualne świadectwo kwalifikacyjne uprawniające do zajmowania się eksploatacją urządzeń na stanowisku eksploatacji (E) w zakresie obsługi, konserwacji, remontów, montażu, kontrolno-pomiarowym dla urządzeń, instalacji i sieci „Grupa 1".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posiadanie uprawnień D i E przez jedną osobę.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Wykonawca winien udzielić pełnej gwarancji na roboty objęte zakresem zamówienia na okres nie krótszy niż 3 lata (36 miesięcy) z wyjątkiem: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dachu i elewacji, gdzie okres gwarancji nie może być krótszy niż 10 lat (120 miesięcy),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okien i drzwi zewnętrznych, gdzie okres gwarancji nie może być krótszy niż 5 lat (60 miesięcy) 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instalacji sieci strukturalnych (logicznych), gdzie okres gwarancji systemowej udzielony przez producenta nie może być krótszy niż 25 lat.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15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Niniejsze zamówienie podlega wznowieniu: nie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cena – 60 %;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okres gwarancji – 40 %.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Wszystkie kody i nazwy zamówienia według Wspólnego Słownika Zamówień wskazano w SIWZ.</w:t>
      </w:r>
    </w:p>
    <w:p w:rsidR="005C306D" w:rsidRDefault="005C306D" w:rsidP="005C306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którzy: nie podlegają wykluczeniu na podstawie art. 24 ust. 1 pkt 12–23 oraz art. 24 ust. 5 pkt 1 i 8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A. informacja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wystawiona nie wcześniej niż przed terminem 6 miesięcy przed upływem terminu składania ofert;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zaświadczenie właściwego naczelnika urzędu skarbowego potwierdzające, że Wykonawca nie zalega z opłacaniem podatków, wystawione nie wcześniej niż 3 miesiące przed upływem terminu składania ofert,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C. zaświadczenie właściwej terenowej jednostki organizacyjnej Zakładu Ubezpieczeń Społecznych lub Kasy Rolniczego Ubezpieczenia Społecznego albo inny dokument potwierdzający,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D.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E.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F. oświadczenie Wykonawcy o braku orzeczenia wobec niego tytułem środka zapobiegawczego zakazu ubiegania się o zamówienia publiczne;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G. oświadczenie Wykonawcy o niezaleganiu z opłacaniem podatków i opłat lokalnych, o których mowa w ustawie z dnia 12 stycznia 1991 r. o podatkach i opłatach lokalnych (Dz.U. z 2016 r. poz. 716);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H.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I. wykaz osób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Wykonawca polega na zdolnościach lub sytuacji innych podmiotów na zasadach określonych w art. 22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Zamawiający żąda przedstawienia w odniesieniu do tych podmiotów dokumentów wymienionych w ust. 7.4 pkt 1–7 SIWZ.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A–D, składa odpowiednio dokumenty wskazane w pkt 7.5.1 SIWZ.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uzna wyżej wymieniony warunek za spełniony, jeżeli Wykonawca wykaże, że: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 okresie ostatnich pięciu lat przed dniem upływu składania ofert, a jeżeli okres prowadzenia działalności jest krótszy – w tym okresie, wykonał co najmniej 2 (dwie) realizacje, przy czym każda z nich polegała na budowie* co najmniej średniowysokiego** budynku użyteczności publicznej***, każdego na kwotę co najmniej 15 000 000,00 PLN (piętnaście milionów złotych).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przypadku Wykonawców, którzy wykonywali realizacje za wynagrodzeniem wyrażonym w innych walutach niż złoty polski, Zamawiający przeliczy wartość tych realizacji po średnim kursie NBP z dnia ukazania się ogłoszenia o zamówieniu.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Dysponuje lub będzie dysponował osobą która będzie pełnić funkcję kierownika budowy, posiadającą uprawnienia do kierowania robotami budowlanymi w specjalności konstrukcyjno-budowlanej bez ograniczeń.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Dysponuje lub będzie dysponował osobą, która będzie pełnić funkcję kierownika robót, posiadającą uprawnienia budowlane do kierowania robotami budowlanymi bez ograniczeń, w specjalności instalacyjnej w zakresie: sieci, instalacji i urządzeń cieplnych, wentylacyjnych, wodociągowych i kanalizacyjnych.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Dysponuje lub będzie dysponował osobą, która będzie pełnić funkcję kierownika robót, posiadającą uprawnienia budowlane do kierowania robotami budowlanymi bez ograniczeń, w specjalności instalacyjnej w zakresie sieci, instalacji i urządzeń elektrycznych i elektroenergetycznych.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— Wykonawca może w celu potwierdzenia spełniania warunków udziału w postępowaniu, o których mowa w pkt 5.1 SIWZ, w stosownych sytuacjach oraz w odniesieniu do konkretnego zamówienia, lub jego części, polegać na zdolnościach technicznych lub zawodowych lub sytuacji finansowej lub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ekonomicznej innych podmiotów, niezależnie od charakteru prawnego łączących go z nim stosunków prawnych.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Wykonawca, który polega na zdolnościach lub sytuacji innych podmiotów, udowodni Zamawiającemu, że realizując zamówienie będzie dysponował niezbędnymi zasobami tych podmiotów, w szczególności przedstawiając zobowiązanie tych podmiotów do oddania mu do dyspozycji niezbędnych zasobów na potrzeby realizacji zamówienia.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— Zamawiający oceni, czy udostępniane Wykonawcy przez inne podmioty zdolności techniczne lub zawodowe lub ich sytuacja finansowa lub ekonomiczna pozwalają na wykazanie przez Wykonawcę spełniania warunków udziału w postępowaniu oraz zbada, czy nie zachodzą wobec tego podmiotu podstawy wykluczenia, o których mowa w art. 24 ust. 1 pkt 13–22 i ust. 5 pkt 1 i 8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 odniesieniu do warunków dotyczących wykształcenia, kwalifikacji zawodowych lub doświadczenia, Wykonawcy mogą polegać na zdolnościach innych podmiotów, jeśli podmioty te zrealizują roboty budowlane, do realizacji których te zdolności są wymagane.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z zobowiązania lub innych dokumentów potwierdzających udostępnienie zasobów przez inne podmioty musi bezspornie i jednoznacznie wynikać w szczególności: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dostępnych Wykonawcy zasobów innego podmiotu,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sposób wykorzystania zasobów innego podmiotu, przez Wykonawcę, przy wykonywaniu zamówienia,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i okres udziału innego podmiotu przy wykonywaniu zamówienia publicznego,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czy podmiot, na zdolnościach którego Wykonawca polega w odniesieniu do warunków udziału w postępowaniu dotyczących wykształcenia, kwalifikacji zawodowych lub doświadczenia, zrealizuje roboty budowlane, których wskazane zdolności dotyczą.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Wykonawcy mogą wspólnie ubiegać się o udzielenie zamówienia. W takim przypadku Wykonawcy ustanawiają pełnomocnika do reprezentowania ich w postępowaniu o udzielenie zamówienia albo reprezentowania w postępowaniu i zawarcia umowy w sprawie zamówienia publicznego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5C306D" w:rsidRDefault="005C306D" w:rsidP="005C306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aukcji elektronicznej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15/09/2020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Polski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15/09/2020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POLSKA</w:t>
      </w:r>
    </w:p>
    <w:p w:rsidR="005C306D" w:rsidRDefault="005C306D" w:rsidP="005C306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Oferta musi być zabezpieczona wadium w wysokości: 400 000,00 PLN (słownie: czterysta tysięcy zł 00/100)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pieniądzu (nie dopuszcza się wpłaty gotówką),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przypomina, że za skutecznie wniesione wadium uznaje się zaksięgowanie kwoty na rachunku bankowym Zamawiającego,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 lub poręczeniach spółdzielczej kasy oszczędnościowo-kredytowej, z tym, że poręczenie kasy jest zawsze poręczeniem pieniężnym,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Zamawiający żąda aby Wykonawca złożył wraz z ofertą: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zgodnie z treścią załącznika nr 1 do SIWZ;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wadium;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zobowiązanie lub inne dokumenty potwierdzające udostępnienie zasobów przez inne podmioty.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4.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Ofertę i oświadczenie JEDZ sporządza się, pod rygorem nieważności, w postaci elektronicznej i opatruje się kwalifikowanym podpisem elektronicznym.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7. Wykonawca, którego oferta uznana jest za najkorzystniejszą, przed podpisaniem umowy zobowiązany jest wnieść zabezpieczenie należytego wykonania umowy.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8. Wykonawca na własny koszt, w okresie realizacji umowy ubezpieczy i zapewni ciągłość linii ubezpieczenia wskazanych w SIWZ.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9. Wybrany w drodze postępowania przetargowego Wykonawca winien przed podpisaniem umowy przedłożyć Zamawiającemu: uprawnienia wymienione w pkt 5.1.2 SIWZ, kserokopię aktualnych świadectw kwalifikacyjnych osób (pkt a i b) SIWZ, które będą wykonywać przedmiot zamówienia – zgodnie z wymogiem określonym w pkt III SIWZ, oświadczenia wskazane w pkt 15.8 SIWZ, kosztorys.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5C306D" w:rsidRDefault="005C306D" w:rsidP="005C306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5C306D" w:rsidRDefault="005C306D" w:rsidP="005C306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10/08/2020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default" r:id="rId18"/>
      <w:footerReference w:type="even" r:id="rId19"/>
      <w:footerReference w:type="default" r:id="rId20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6461" w:rsidRDefault="00656461">
      <w:r>
        <w:separator/>
      </w:r>
    </w:p>
  </w:endnote>
  <w:endnote w:type="continuationSeparator" w:id="0">
    <w:p w:rsidR="00656461" w:rsidRDefault="00656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5C30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6461" w:rsidRDefault="00656461">
      <w:r>
        <w:separator/>
      </w:r>
    </w:p>
  </w:footnote>
  <w:footnote w:type="continuationSeparator" w:id="0">
    <w:p w:rsidR="00656461" w:rsidRDefault="00656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6A04741"/>
    <w:multiLevelType w:val="multilevel"/>
    <w:tmpl w:val="A6F0D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461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C306D"/>
    <w:rsid w:val="005D3C55"/>
    <w:rsid w:val="005D78E1"/>
    <w:rsid w:val="005E67CB"/>
    <w:rsid w:val="00611080"/>
    <w:rsid w:val="0061417E"/>
    <w:rsid w:val="00650B8E"/>
    <w:rsid w:val="00656461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6B557C-108E-48CC-B350-1027A44A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5C306D"/>
  </w:style>
  <w:style w:type="character" w:customStyle="1" w:styleId="oj">
    <w:name w:val="oj"/>
    <w:rsid w:val="005C306D"/>
  </w:style>
  <w:style w:type="character" w:styleId="Hipercze">
    <w:name w:val="Hyperlink"/>
    <w:uiPriority w:val="99"/>
    <w:semiHidden/>
    <w:unhideWhenUsed/>
    <w:rsid w:val="005C306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C306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C306D"/>
    <w:pPr>
      <w:spacing w:before="100" w:beforeAutospacing="1" w:after="100" w:afterAutospacing="1"/>
    </w:pPr>
  </w:style>
  <w:style w:type="character" w:customStyle="1" w:styleId="nomark">
    <w:name w:val="nomark"/>
    <w:rsid w:val="005C306D"/>
  </w:style>
  <w:style w:type="character" w:customStyle="1" w:styleId="timark">
    <w:name w:val="timark"/>
    <w:rsid w:val="005C306D"/>
  </w:style>
  <w:style w:type="character" w:customStyle="1" w:styleId="nutscode">
    <w:name w:val="nutscode"/>
    <w:rsid w:val="005C306D"/>
  </w:style>
  <w:style w:type="character" w:customStyle="1" w:styleId="cpvcode">
    <w:name w:val="cpvcode"/>
    <w:rsid w:val="005C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9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306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97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6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330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025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4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451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047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973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3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80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561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865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1026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178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97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1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797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576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33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914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906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560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6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052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096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402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241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52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90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7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022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35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241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614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913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404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965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606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35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19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20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168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201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164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07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5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1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6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978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13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18016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7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611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91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959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030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94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1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238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16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642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21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542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01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63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269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9894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804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3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845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821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03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29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46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685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17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258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41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897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001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214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889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79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848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20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22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12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32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245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519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61485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34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441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010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78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971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082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264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900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37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939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5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024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865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689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303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81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750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54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80894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ted.europa.eu/udl?uri=TED:NOTICE:380894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80894-2020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10" Type="http://schemas.openxmlformats.org/officeDocument/2006/relationships/hyperlink" Target="https://ted.europa.eu/udl?uri=TED:NOTICE:380894-2020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80894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3184</Words>
  <Characters>19107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2</cp:revision>
  <cp:lastPrinted>1899-12-31T23:00:00Z</cp:lastPrinted>
  <dcterms:created xsi:type="dcterms:W3CDTF">2020-08-14T06:59:00Z</dcterms:created>
  <dcterms:modified xsi:type="dcterms:W3CDTF">2020-08-14T07:02:00Z</dcterms:modified>
</cp:coreProperties>
</file>