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C62" w:rsidRDefault="00FB3C62" w:rsidP="00FB3C62">
      <w:r>
        <w:rPr>
          <w:color w:val="000000"/>
          <w:sz w:val="27"/>
          <w:szCs w:val="27"/>
        </w:rPr>
        <w:t>Ogłoszenie nr 554139-N-2020 z dnia 2020-06-24 r.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Akademia Górniczo - Hutnicza im. Stanisława Staszica: utwardzenie terenu MS AGH przy ulicy Rostafińskiego 37 w Krakowie - KC-zp.272-254/20</w:t>
      </w:r>
      <w:r>
        <w:rPr>
          <w:b/>
          <w:bCs/>
          <w:color w:val="000000"/>
          <w:sz w:val="27"/>
          <w:szCs w:val="27"/>
        </w:rPr>
        <w:br/>
        <w:t>OGŁOSZENIE O ZAMÓWIENIU - Roboty budowlane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, nie mniejszy niż 30%, osób zatrudnionych przez zakłady pracy chronionej lub wykonawców albo ich jednostki (w %)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I: ZAMAWIAJĄCY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color w:val="000000"/>
          <w:sz w:val="27"/>
          <w:szCs w:val="27"/>
        </w:rPr>
        <w:br/>
        <w:t>Adres strony internetowej (URL):</w:t>
      </w:r>
      <w:r>
        <w:rPr>
          <w:color w:val="000000"/>
          <w:sz w:val="27"/>
          <w:szCs w:val="27"/>
        </w:rPr>
        <w:br/>
        <w:t>Adres profilu nabywcy: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</w:t>
      </w:r>
      <w:r>
        <w:rPr>
          <w:color w:val="000000"/>
          <w:sz w:val="27"/>
          <w:szCs w:val="27"/>
        </w:rPr>
        <w:br/>
        <w:t>Uczelnia publiczna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I.4) KOMUNIKACJA: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www.dzp.agh.edu.pl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adres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  <w:t xml:space="preserve">pisemnie, za pośrednictwem operatora pocztowego w rozumieniu ustawy z dnia 23 </w:t>
      </w:r>
      <w:r>
        <w:rPr>
          <w:color w:val="000000"/>
          <w:sz w:val="27"/>
          <w:szCs w:val="27"/>
        </w:rPr>
        <w:lastRenderedPageBreak/>
        <w:t>listopada 2012 r. – prawo pocztowe (Dz.U. z 2017 r. poz. 1481), osobiście lub za pośrednictwem posłańca</w:t>
      </w:r>
      <w:r>
        <w:rPr>
          <w:color w:val="000000"/>
          <w:sz w:val="27"/>
          <w:szCs w:val="27"/>
        </w:rPr>
        <w:br/>
        <w:t>Adres:</w:t>
      </w:r>
      <w:r>
        <w:rPr>
          <w:color w:val="000000"/>
          <w:sz w:val="27"/>
          <w:szCs w:val="27"/>
        </w:rPr>
        <w:br/>
        <w:t>Akademia Górniczo - Hutnicza im. Stanisława Staszica w Krakowie, al. Mickiewicza 30, 30-059 Kraków, paw. C-2, pok. 117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II: PRZEDMIOT ZAMÓWIENIA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>utwardzenie terenu MS AGH przy ulicy Rostafińskiego 37 w Krakowie - KC-zp.272-254/20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KC-zp.272-254/20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</w:t>
      </w:r>
    </w:p>
    <w:p w:rsidR="00FB3C62" w:rsidRDefault="00FB3C62" w:rsidP="00FB3C62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Roboty budowlane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br/>
        <w:t>Zamówienie podzielone jest na części: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Maksymalna liczba części zamówienia, na które może zostać udzielone zamówienie </w:t>
      </w:r>
      <w:r>
        <w:rPr>
          <w:b/>
          <w:bCs/>
          <w:color w:val="000000"/>
          <w:sz w:val="27"/>
          <w:szCs w:val="27"/>
        </w:rPr>
        <w:lastRenderedPageBreak/>
        <w:t>jednemu wykonawcy: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 xml:space="preserve">Przedmiotem zamówienia jest utwardzenie terenu MS AGH przy ulicy Rostafińskiego 37 w Krakowie. Przedmiot zamówienia obejmuje w szczególności: - roboty rozbiórkowe krawężników betonowych i kamiennych, - wywiezienie gruzu - utwardzenie terenu wykonane z kostki betonowej </w:t>
      </w:r>
      <w:proofErr w:type="spellStart"/>
      <w:r>
        <w:rPr>
          <w:color w:val="000000"/>
          <w:sz w:val="27"/>
          <w:szCs w:val="27"/>
        </w:rPr>
        <w:t>wibroprasowanej</w:t>
      </w:r>
      <w:proofErr w:type="spellEnd"/>
      <w:r>
        <w:rPr>
          <w:color w:val="000000"/>
          <w:sz w:val="27"/>
          <w:szCs w:val="27"/>
        </w:rPr>
        <w:t xml:space="preserve"> typu </w:t>
      </w:r>
      <w:proofErr w:type="spellStart"/>
      <w:r>
        <w:rPr>
          <w:color w:val="000000"/>
          <w:sz w:val="27"/>
          <w:szCs w:val="27"/>
        </w:rPr>
        <w:t>Ekol</w:t>
      </w:r>
      <w:proofErr w:type="spellEnd"/>
      <w:r>
        <w:rPr>
          <w:color w:val="000000"/>
          <w:sz w:val="27"/>
          <w:szCs w:val="27"/>
        </w:rPr>
        <w:t xml:space="preserve">, - utwardzenie terenu z </w:t>
      </w:r>
      <w:proofErr w:type="spellStart"/>
      <w:r>
        <w:rPr>
          <w:color w:val="000000"/>
          <w:sz w:val="27"/>
          <w:szCs w:val="27"/>
        </w:rPr>
        <w:t>geokraty</w:t>
      </w:r>
      <w:proofErr w:type="spellEnd"/>
      <w:r>
        <w:rPr>
          <w:color w:val="000000"/>
          <w:sz w:val="27"/>
          <w:szCs w:val="27"/>
        </w:rPr>
        <w:t xml:space="preserve"> wypełnionej kruszywem oraz ziemią ogrodową wraz z posianiem trawy Wspólny Słownik Zamówień dla zadania: 45233253-7 Roboty w zakresie nawierzchni dróg dla pieszych 45111200-0 Roboty w zakresie przygotowania terenu pod budowę i roboty ziemne 45112710-5 Roboty w zakresie kształtowania terenów zielonych 45230000-8 Roboty budowlane w zakresie budowy rurociągów, linii komunikacyjnych i elektroenergetycznych, autostrad, dróg, lotnisk i kolei; wyrównywanie terenu 45111200-0 Kanalizacja deszczowa zewnętrzna Zamawiający wymaga zatrudnienia przez Wykonawcę lub Podwykonawcę na podstawie umowy o pracę, w sposób określony w art. 22 § 1 ustawy z dnia 26 czerwca 1974 r. – Kodeks pracy (Dz. U. z 2018 r. poz. 917), osób wykonujących czynności polegające na wykonaniu: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robót ziemnych;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robót brukarskich; objętych przedmiotem zamówienia.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</w:t>
      </w:r>
      <w:r>
        <w:rPr>
          <w:color w:val="000000"/>
          <w:sz w:val="27"/>
          <w:szCs w:val="27"/>
        </w:rPr>
        <w:lastRenderedPageBreak/>
        <w:t>wykonawcę budzą wątpliwości co do ich autentyczności lub co do okoliczności które powinny potwierdzać. W takim przypadku wykonawca zobowiązany jest do przedstawienia dodatkowych dokumentów w terminie wyznaczonym przez Zmawiającego. Wykonawca winien udzielić pełnej gwarancji na roboty objęte zakresem zamówienia na okres nie krótszy niż 36 miesięcy zgodnie z warunkami określonymi w oświadczeniu gwarancyjnym.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45111000-8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  <w:t>Wartość bez VAT:</w:t>
      </w:r>
      <w:r>
        <w:rPr>
          <w:color w:val="000000"/>
          <w:sz w:val="27"/>
          <w:szCs w:val="27"/>
        </w:rPr>
        <w:br/>
        <w:t>Waluta: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(w przypadku umów ramowych lub dynamicznego systemu zakupów – szacunkowa całkowita maksymalna wartość w całym okresie obowiązywania umowy ramowej lub dynamicznego systemu zakupów)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II.8) Okres, w którym realizowane będzie zamówienie lub okres, na który została zawarta umowa ramowa lub okres, na który został ustanowiony dynamiczny system zakupów: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90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FB3C62" w:rsidRDefault="00FB3C62" w:rsidP="00FB3C62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lastRenderedPageBreak/>
        <w:t>SEKCJA III: INFORMACJE O CHARAKTERZE PRAWNYM, EKONOMICZNYM, FINANSOWYM I TECHNICZNYM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III.1) WARUNKI UDZIAŁU W POSTĘPOWANIU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</w:t>
      </w:r>
      <w:r>
        <w:rPr>
          <w:color w:val="000000"/>
          <w:sz w:val="27"/>
          <w:szCs w:val="27"/>
        </w:rPr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 każda na kwotę: min. 150.000,00 złotych brutto (dwieście tysięcy złotych), każda polegająca na remoncie, przebudowie lub budowie parkingu lub drogi wraz z infrastrukturą techniczną b) dysponuje lub będzie dysponował osobą która będzie pełnić funkcję kierownika budowy, posiadającą uprawnienia do kierowania robotami budowlanymi w specjalności konstrukcyjno-budowlanej lub w specjalności drogowej, która w dniu podpisania umowy będzie członkiem właściwej izby samorządu zawodowego, zgodnie z ustawą Prawo budowlane oraz ustawą o samorządach zawodowych architektów, inżynierów budownictwa oraz urbanistów; Osoba wymieniona powyżej powinna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</w:t>
      </w:r>
      <w:r>
        <w:rPr>
          <w:color w:val="000000"/>
          <w:sz w:val="27"/>
          <w:szCs w:val="27"/>
        </w:rPr>
        <w:lastRenderedPageBreak/>
        <w:t>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>
        <w:rPr>
          <w:color w:val="000000"/>
          <w:sz w:val="27"/>
          <w:szCs w:val="27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>
        <w:rPr>
          <w:color w:val="000000"/>
          <w:sz w:val="27"/>
          <w:szCs w:val="27"/>
        </w:rPr>
        <w:br/>
        <w:t>Informacje dodatkowe: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III.2.1) Podstawy wykluczenia określone w art. 24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III.2.2) Zamawiający przewiduje wykluczenie wykonawcy na podstawie art. 24 ust. 5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 Tak Zamawiający przewiduje następujące fakultatywne podstawy wykluczenia: Tak (podstawa wykluczenia określona w art. 24 ust. 5 pkt 1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Tak (podstawa wykluczenia określona w art. 24 ust. 5 pkt 8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</w:t>
      </w:r>
      <w:r>
        <w:rPr>
          <w:color w:val="000000"/>
          <w:sz w:val="27"/>
          <w:szCs w:val="27"/>
        </w:rPr>
        <w:br/>
        <w:t>Nie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br/>
        <w:t xml:space="preserve"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</w:t>
      </w:r>
      <w:r>
        <w:rPr>
          <w:color w:val="000000"/>
          <w:sz w:val="27"/>
          <w:szCs w:val="27"/>
        </w:rPr>
        <w:lastRenderedPageBreak/>
        <w:t>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. Wraz ze złożeniem oświadczenia, Wykonawca może przedstawić dowody, że powiązania z innym wykonawcą nie prowadzą do zakłócenia konkurencji w postępowaniu o udzielenie zamówienia. W przypadku wspólnego ubiegania się o zamówienie przez </w:t>
      </w:r>
      <w:r>
        <w:rPr>
          <w:color w:val="000000"/>
          <w:sz w:val="27"/>
          <w:szCs w:val="27"/>
        </w:rPr>
        <w:lastRenderedPageBreak/>
        <w:t>wykonawców oświadczenie o przynależności lub braku przynależności do tej samej grupy kapitałowej składa każdy z wykonawców</w:t>
      </w:r>
    </w:p>
    <w:p w:rsidR="00FB3C62" w:rsidRDefault="00FB3C62" w:rsidP="00FB3C62">
      <w:pPr>
        <w:spacing w:line="450" w:lineRule="atLeas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SEKCJA IV: PROCEDURA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IV.1) OPIS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Informacja na temat wadium</w:t>
      </w:r>
      <w:r>
        <w:rPr>
          <w:color w:val="000000"/>
          <w:sz w:val="27"/>
          <w:szCs w:val="27"/>
        </w:rPr>
        <w:br/>
        <w:t>1. Oferta musi być zabezpieczona wadium w wysokości: 7 000,00 PLN (słownie: siedem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informacje na temat udzielania zaliczek: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Nie</w:t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oferty wariantowej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Liczba wykonawców  </w:t>
      </w:r>
      <w:r>
        <w:rPr>
          <w:color w:val="000000"/>
          <w:sz w:val="27"/>
          <w:szCs w:val="27"/>
        </w:rPr>
        <w:br/>
        <w:t>Przewidywana minimalna liczba wykonawców</w:t>
      </w:r>
      <w:r>
        <w:rPr>
          <w:color w:val="000000"/>
          <w:sz w:val="27"/>
          <w:szCs w:val="27"/>
        </w:rPr>
        <w:br/>
        <w:t>Maksymalna liczba wykonawców  </w:t>
      </w:r>
      <w:r>
        <w:rPr>
          <w:color w:val="000000"/>
          <w:sz w:val="27"/>
          <w:szCs w:val="27"/>
        </w:rPr>
        <w:br/>
        <w:t>Kryteria selekcji wykonawców: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Nie</w:t>
      </w:r>
      <w:r>
        <w:rPr>
          <w:color w:val="000000"/>
          <w:sz w:val="27"/>
          <w:szCs w:val="27"/>
        </w:rPr>
        <w:br/>
        <w:t>Adres strony internetowej, na której będą zamieszczone dodatkowe informacje dotyczące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adres strony internetowej, na której aukcja będzie prowadzona: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</w:t>
      </w:r>
      <w:r>
        <w:rPr>
          <w:color w:val="000000"/>
          <w:sz w:val="27"/>
          <w:szCs w:val="27"/>
        </w:rPr>
        <w:br/>
        <w:t>Informacje dotyczące przebiegu aukcji elektronicznej: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</w:t>
      </w:r>
      <w:r>
        <w:rPr>
          <w:color w:val="000000"/>
          <w:sz w:val="27"/>
          <w:szCs w:val="27"/>
        </w:rPr>
        <w:br/>
        <w:t>Wymagania dotyczące rejestracji i identyfikacji wykonawców w aukcji elektronicznej: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wykonawcy, którzy nie złożyli nowych postąpień, zostaną zakwalifikowani do następnego etapu:</w:t>
      </w:r>
      <w:r>
        <w:rPr>
          <w:color w:val="000000"/>
          <w:sz w:val="27"/>
          <w:szCs w:val="27"/>
        </w:rPr>
        <w:br/>
        <w:t>Warunki zamknięcia aukcji elektronicznej:</w:t>
      </w:r>
      <w:r>
        <w:rPr>
          <w:color w:val="000000"/>
          <w:sz w:val="27"/>
          <w:szCs w:val="27"/>
        </w:rPr>
        <w:br/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FB3C62" w:rsidTr="00FB3C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Znaczenie</w:t>
            </w:r>
          </w:p>
        </w:tc>
      </w:tr>
      <w:tr w:rsidR="00FB3C62" w:rsidTr="00FB3C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60,00</w:t>
            </w:r>
          </w:p>
        </w:tc>
      </w:tr>
      <w:tr w:rsidR="00FB3C62" w:rsidTr="00FB3C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3C62" w:rsidRDefault="00FB3C62">
            <w:r>
              <w:t>40,00</w:t>
            </w:r>
          </w:p>
        </w:tc>
      </w:tr>
    </w:tbl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IV.2.3) Zastosowanie procedury, o której mowa w art. 24aa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(przetarg nieograniczony)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IV.3) Negocjacje z ogłoszeniem, dialog konkurencyjny, partnerstwo innowacyjne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br/>
        <w:t>Minimalne wymagania, które muszą spełniać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Przewidziane jest zastrzeżenie prawa do udzielenia zamówienia na podstawie ofert wstępnych bez przeprowadzenia negocjacji</w:t>
      </w:r>
      <w:r>
        <w:rPr>
          <w:color w:val="000000"/>
          <w:sz w:val="27"/>
          <w:szCs w:val="27"/>
        </w:rPr>
        <w:br/>
        <w:t>Przewidziany jest podział negocjacji na etapy w celu ograniczenia liczby ofert:</w:t>
      </w:r>
      <w:r>
        <w:rPr>
          <w:color w:val="000000"/>
          <w:sz w:val="27"/>
          <w:szCs w:val="27"/>
        </w:rPr>
        <w:br/>
        <w:t>Należy podać informacje na temat etapów negocjacji (w tym liczbę etapów):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br/>
        <w:t>Opis potrzeb i wymagań zamawiającego lub informacja o sposobie uzyskania tego opisu: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Informacja o wysokości nagród dla wykonawców, którzy podczas dialogu konkurencyjnego przedstawili rozwiązania stanowiące podstawę do składania ofert, jeżeli zamawiający przewiduje nagrody: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Wstępny harmonogram postępowania: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</w:t>
      </w:r>
      <w:r>
        <w:rPr>
          <w:color w:val="000000"/>
          <w:sz w:val="27"/>
          <w:szCs w:val="27"/>
        </w:rPr>
        <w:br/>
        <w:t>Należy podać informacje na temat etapów dialogu: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negocjacji na etapy w celu ograniczeniu liczby ofert podlegających negocjacjom poprzez zastosowanie kryteriów oceny ofert wskazanych w specyfikacji istotnych warunków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</w:t>
      </w:r>
      <w:r>
        <w:rPr>
          <w:color w:val="000000"/>
          <w:sz w:val="27"/>
          <w:szCs w:val="27"/>
        </w:rPr>
        <w:br/>
        <w:t>Adres strony internetowej, na której będzie prowadzona licytacja elektroniczna: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Informacje o liczbie etapów licytacji elektronicznej i czasie ich trwania: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składania wniosków o dopuszczenie do udziału w licytacji elektronicznej:</w:t>
      </w:r>
      <w:r>
        <w:rPr>
          <w:color w:val="000000"/>
          <w:sz w:val="27"/>
          <w:szCs w:val="27"/>
        </w:rPr>
        <w:br/>
        <w:t>Data: godzina:</w:t>
      </w:r>
      <w:r>
        <w:rPr>
          <w:color w:val="000000"/>
          <w:sz w:val="27"/>
          <w:szCs w:val="27"/>
        </w:rPr>
        <w:br/>
        <w:t>Termin otwarcia licytacji elektronicznej: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</w:t>
      </w:r>
      <w:r>
        <w:rPr>
          <w:color w:val="000000"/>
          <w:sz w:val="27"/>
          <w:szCs w:val="27"/>
        </w:rPr>
        <w:br/>
        <w:t>Należy wskazać zakres, charakter zmian oraz warunki wprowadzenia zmian: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 wystąpienia którejkolwiek ze zmian przepisów wskazanych w art. 142 ust. 5 ustawy z dnia 29 stycznia 2004 r. Prawo Zamówień Publicznych, jeżeli Umowa została zawarta na okres dłuższy niż 12 miesięcy, tj. zmiany: a) zmiany stawki podatku VAT, w odniesieniu do tej części wynagrodzenia, której zmiana dotyczy, b) wysokości minimalnego wynagrodzenia za pracę albo wysokości minimalnej stawki godzinowej ustalonych na podstawie przepisów ustawy z dnia 10 października 2002 r. o minimalnym wynagrodzeniu za pracę, c) zasad podlegania ubezpieczeniom społecznym lub ubezpieczeniu zdrowotnemu lub wysokości stawki składki na ubezpieczenia społeczne lub zdrowotne, d) zmiany zasad </w:t>
      </w:r>
      <w:r>
        <w:rPr>
          <w:color w:val="000000"/>
          <w:sz w:val="27"/>
          <w:szCs w:val="27"/>
        </w:rPr>
        <w:lastRenderedPageBreak/>
        <w:t xml:space="preserve">gromadzenia i wysokości wpłat do pracowniczych planów kapitałowych, o których mowa w ustawie z dnia 4 października 2018r. o pracowniczych planach kapitałowych.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</w:t>
      </w:r>
      <w:r>
        <w:rPr>
          <w:color w:val="000000"/>
          <w:sz w:val="27"/>
          <w:szCs w:val="27"/>
        </w:rPr>
        <w:lastRenderedPageBreak/>
        <w:t xml:space="preserve">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 ) w Sekretariacie Miasteczka Studenckiego AGH ul. Rostafińskiego 7A. 7.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</w:t>
      </w:r>
      <w:r>
        <w:rPr>
          <w:color w:val="000000"/>
          <w:sz w:val="27"/>
          <w:szCs w:val="27"/>
        </w:rPr>
        <w:lastRenderedPageBreak/>
        <w:t xml:space="preserve">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</w:t>
      </w:r>
      <w:r>
        <w:rPr>
          <w:color w:val="000000"/>
          <w:sz w:val="27"/>
          <w:szCs w:val="27"/>
        </w:rPr>
        <w:lastRenderedPageBreak/>
        <w:t xml:space="preserve">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częściowym zatwierdzeniu wniosku, Strona ta może ponownie wystąpić z wnioskiem, o którym mowa w ust. 14. W takim przypadku przepisy ust. 15 - 17 oraz 19 stosuje się </w:t>
      </w:r>
      <w:r>
        <w:rPr>
          <w:color w:val="000000"/>
          <w:sz w:val="27"/>
          <w:szCs w:val="27"/>
        </w:rPr>
        <w:lastRenderedPageBreak/>
        <w:t>odpowiednio. 19. Zawarcie pisemnego aneksu do umowy nastąpi nie później niż w terminie 10 dni roboczych od dnia zatwierdzenia wniosku o dokonanie zmiany wysokości wynagrodzenia należnego Wykonawcy.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</w:t>
      </w:r>
      <w:r>
        <w:rPr>
          <w:color w:val="000000"/>
          <w:sz w:val="27"/>
          <w:szCs w:val="27"/>
        </w:rPr>
        <w:br/>
        <w:t>Data: 2020-07-09, godzina: 09:00,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Wskazać powody: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Język lub języki, w jakich mogą być sporządzane oferty lub wnioski o dopuszczenie do udziału w postępowaniu</w:t>
      </w:r>
      <w:r>
        <w:rPr>
          <w:color w:val="000000"/>
          <w:sz w:val="27"/>
          <w:szCs w:val="27"/>
        </w:rPr>
        <w:br/>
        <w:t>&gt; oferta musi być sporządzona w języku polskim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color w:val="000000"/>
          <w:sz w:val="27"/>
          <w:szCs w:val="27"/>
        </w:rPr>
        <w:t> 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Informacje dodatkowe:</w:t>
      </w:r>
      <w:r>
        <w:rPr>
          <w:color w:val="000000"/>
          <w:sz w:val="27"/>
          <w:szCs w:val="27"/>
        </w:rPr>
        <w:br/>
        <w:t xml:space="preserve">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</w:t>
      </w:r>
      <w:r>
        <w:rPr>
          <w:color w:val="000000"/>
          <w:sz w:val="27"/>
          <w:szCs w:val="27"/>
        </w:rPr>
        <w:lastRenderedPageBreak/>
        <w:t>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którym zaleca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Szczegółowy harmonogram rzeczowo-finansowy prac oraz dostaw materiałów i urządzeń. Zaleca się, aby dostawa materiałów i urządzeń była odrębnym elementem w harmonogramie. • oświadczenie Wykonawcy o zatrudnieniu na umowę o pracę (w rozumieniu art. 22 § 1 Kodeksu pracy) osób które będą wykonywały czynności dla których w pkt. III niniejszej specyfikacji został określony taki wymóg.</w:t>
      </w:r>
    </w:p>
    <w:p w:rsidR="00FB3C62" w:rsidRDefault="00FB3C62" w:rsidP="00FB3C62">
      <w:pPr>
        <w:spacing w:line="450" w:lineRule="atLeast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  <w:u w:val="single"/>
        </w:rPr>
        <w:t>ZAŁĄCZNIK I - INFORMACJE DOTYCZĄCE OFERT CZĘŚCIOWYCH</w:t>
      </w: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</w:p>
    <w:p w:rsidR="00FB3C62" w:rsidRDefault="00FB3C62" w:rsidP="00FB3C62">
      <w:pPr>
        <w:spacing w:line="450" w:lineRule="atLeast"/>
        <w:rPr>
          <w:color w:val="000000"/>
          <w:sz w:val="27"/>
          <w:szCs w:val="27"/>
        </w:rPr>
      </w:pP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B9A" w:rsidRDefault="001A0B9A">
      <w:r>
        <w:separator/>
      </w:r>
    </w:p>
  </w:endnote>
  <w:endnote w:type="continuationSeparator" w:id="0">
    <w:p w:rsidR="001A0B9A" w:rsidRDefault="001A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4C8" w:rsidRDefault="005A7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B9A" w:rsidRDefault="001A0B9A">
      <w:r>
        <w:separator/>
      </w:r>
    </w:p>
  </w:footnote>
  <w:footnote w:type="continuationSeparator" w:id="0">
    <w:p w:rsidR="001A0B9A" w:rsidRDefault="001A0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4C8" w:rsidRDefault="005A7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4C8" w:rsidRDefault="005A74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B9A"/>
    <w:rsid w:val="000C4A85"/>
    <w:rsid w:val="001306AD"/>
    <w:rsid w:val="00161679"/>
    <w:rsid w:val="00180468"/>
    <w:rsid w:val="001A0B9A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A74C8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B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F58969-9EDB-41AE-B45F-A48D5F30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0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7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6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9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1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81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57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7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66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2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9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83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9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0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6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6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8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9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6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32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22</Pages>
  <Words>4964</Words>
  <Characters>33203</Characters>
  <Application>Microsoft Office Word</Application>
  <DocSecurity>0</DocSecurity>
  <Lines>276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2020-06-24T10:26:00Z</dcterms:created>
  <dcterms:modified xsi:type="dcterms:W3CDTF">2020-06-24T10:26:00Z</dcterms:modified>
</cp:coreProperties>
</file>