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31/03/2020    S64    Dostawy - Ogłoszenie o zamówieniu - Procedura otwarta  </w:t>
      </w:r>
    </w:p>
    <w:p w:rsidR="00EA58E6" w:rsidRPr="00EA58E6" w:rsidRDefault="00575F72" w:rsidP="00EA58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5" w:anchor="id0-I." w:history="1">
        <w:r w:rsidR="00EA58E6"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I.</w:t>
        </w:r>
      </w:hyperlink>
    </w:p>
    <w:p w:rsidR="00EA58E6" w:rsidRPr="00EA58E6" w:rsidRDefault="00575F72" w:rsidP="00EA58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anchor="id1-II." w:history="1">
        <w:r w:rsidR="00EA58E6"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II.</w:t>
        </w:r>
      </w:hyperlink>
    </w:p>
    <w:p w:rsidR="00EA58E6" w:rsidRPr="00EA58E6" w:rsidRDefault="00575F72" w:rsidP="00EA58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7" w:anchor="id2-III." w:history="1">
        <w:r w:rsidR="00EA58E6"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III.</w:t>
        </w:r>
      </w:hyperlink>
    </w:p>
    <w:p w:rsidR="00EA58E6" w:rsidRPr="00EA58E6" w:rsidRDefault="00575F72" w:rsidP="00EA58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8" w:anchor="id3-IV." w:history="1">
        <w:r w:rsidR="00EA58E6"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IV.</w:t>
        </w:r>
      </w:hyperlink>
    </w:p>
    <w:p w:rsidR="00EA58E6" w:rsidRPr="00EA58E6" w:rsidRDefault="00575F72" w:rsidP="00EA58E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9" w:anchor="id4-VI." w:history="1">
        <w:r w:rsidR="00EA58E6"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VI.</w:t>
        </w:r>
      </w:hyperlink>
    </w:p>
    <w:p w:rsidR="00EA58E6" w:rsidRPr="00EA58E6" w:rsidRDefault="00EA58E6" w:rsidP="00EA5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Produkty farmaceutyczne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064-152573</w:t>
      </w:r>
    </w:p>
    <w:p w:rsidR="00EA58E6" w:rsidRPr="00EA58E6" w:rsidRDefault="00EA58E6" w:rsidP="00EA5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EA58E6" w:rsidRPr="00EA58E6" w:rsidRDefault="00EA58E6" w:rsidP="00EA58E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Dostawy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Dyrektywa 2014/24/UE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Urszula Gawin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11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12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13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14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lub wnioski o dopuszczenie do udziału w postępowaniu należy przesyłać na adres podany powyżej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15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Dostawa surowców farmaceutycznych oraz artykułów pomocniczych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ZP/4/2020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33600000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Dostawy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Przedmiotem zamówienia jest dostawa surowców farmaceutycznych, wyrobów medycznych oraz artykułów pomocniczych.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Surowce farmaceutyczne zaoferowane przez Wykonawców w niniejszym postępowaniu muszą spełniać wymagania wynikające z ustawy z dnia 6 września 2001 r. Prawo farmaceutyczne (tekst jednolity Dz.U. z 2019 r., poz. 499) (dotyczy grupy 1–6).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Wyroby medyczne zaoferowane przez Wykonawców w niniejszym postępowaniu muszą spełniać wymagania wynikające z ustawy z dnia 20 maja 2010 r. o wyrobach medycznych (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Dz.U. z 2019 poz. 175 z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 (dotyczy grupy 7).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W przypadku produktów, które nie podlegają przepisom ustawy z dnia 6 września 2001 r. Prawo farmaceutyczne (tekst jednolity Dz.U. z 2019 r., poz. 499) oraz ustawy z dnia 20 maja 2010 r. o wyrobach medycznych (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Dz.U. z 2019 poz. 175 z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zm.), Wykonawca zobowiązany jest posiadać inne odpowiednie dokumenty dopuszczające te produkty do obrotu i stosowania.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tak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Oferty można składać w odniesieniu do wszystkich części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1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1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Przedmiotem zamówienia jest dostawa surowców farmaceutycznych: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boricum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1 000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salicylicum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tannicum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800;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Ammonii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bituminosulfonas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Argenti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nitras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Argenti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nitras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Argentum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proteinicum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Atropini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sulfas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op. 1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Benzocainum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Bismuthi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subnitras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ponderosum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11. Boraks substancja recepturowa, opak. 1 000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Calcii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carbonas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praecipitatum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1 000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Calcii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Camphora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Carbo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medicinalis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16.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Clotrimazolum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17.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Chloramphenicolum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18.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Dimeticonum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ml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19.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Dithranol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20.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Erythromycinum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Ephedrini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hydrochloridum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Gentamicini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sulfas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Glucosum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1 000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Homatropini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hydrobromidum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0,5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2,5;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Hydrocortisonum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26.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Lactosum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monohydricum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27.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Magnesii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sulfas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sicc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28.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Metamizolum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29.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Metronidazolum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Mentholum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chloridum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hydrocarbonas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salicylas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Neomycinum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Nystatinum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36. Oleum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menthe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pip. substancja recepturowa, opak. 10 ml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37. Oleum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lavendulae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 ml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38. Oleum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rapae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800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5 600;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39. Oleum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ricini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Phenobarbitalum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Phenobarbitalum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Phenobarbitalum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natrium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Pilocarpini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hydrochloridum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op. 5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35;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Pix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Liquida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Pini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1 250;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45.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Resorcinolum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100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46. Sapo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kalinus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1 000;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47.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Sulfur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praecipitatum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48.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Urea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49.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Talcum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Tetracaini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hydrochloridum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op. 1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Zincum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oxydatum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Vitaminum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 (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palmit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Ret.) 1 mln j.m./g substancja recepturowa, op. 5 g op. 12;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Vitaminum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E (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tokoferylu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octan) substancja recepturowa, op. 5 g op. 12.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1 000,00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2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2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Eucerinum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podłoże maściowe, op. = 4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24;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Glicerolum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Płyn, produkt farm. 86 %, op. = 1 kg, kg 141;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Lanolinum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anhydricum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podłoże maściowe, op. = 1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234;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Lekobaza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podłoże maściowe, op. = 1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12;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Paraffinum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liquidum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Płyn, op. = 4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44;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6. Pasta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Zinci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Pasta, 25 %, op. = 1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31;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Unguentum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cholesteroli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podłoże maściowe, op. = 1 000 g kg 5;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Vaselinum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album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podłoże maściowe, op. = 10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180;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Vaselinum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hydrophillicum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podłoże maściowe, op. = 500 g kg 5;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10.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Vaselinum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flavum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podłoże maściowe, op. = 1 kg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201.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1 500,00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3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dostawa surowców farmaceutycznych: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Adeps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suillus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podłoże maściowe, 250 g kg 6;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Balsamum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peruvianum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Balsamum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peruvianum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250;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 Oleum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cacao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substancja recepturowa, opak. 500 g kg 7;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Lekobaza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lux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subst.podłoże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maściowe, 500 g kg 24.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150,00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4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Tinctura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Adonis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vern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nalewka, op.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Tinctura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Convallariae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mai. nalewka, op. 250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2 500;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Tinctura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Crataegi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nalewka, op. 400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2 400;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Tinctura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Valerianae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nalewka, op. 1 000 g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2 000.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50,00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5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5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24322510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96 % Etanol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Ethanolum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96 %, surowiec farmaceutyczny przeznaczony do receptury aptecznej, op. = 800 g, produkt farmakopealny kg 52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200,00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6 – surowce farmaceutyczne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6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Formaldehyd 10 g/100 g roztwór, op. 1 kg, surowiec farmaceutyczny op. 6;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Formaldehyd 10 g/100 g roztwór, op. 5 kg, surowiec farmaceutyczny op. 3.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7 – formaldehyd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7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33690000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dostawa formaldehydu wyrobu medycznego: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Formaldehyd 10 g/100 g roztwór do histopatologii, buforowany, op. 1 kg, op. 324;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Formaldehyd 10 g/100 g roztwór do histopatologii, buforowany, op. 5 kg, op. 125.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80,00 PLN.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Grupa 8 – Formy do globulek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Część nr: 8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33141000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Apteka Szpitala Specjalistycznego im. St. Żeromskiego w Krakowie, os. Na Skarpie 66, 31-913 Kraków, POLSKA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Przedmiotem zamówienia jest dostawa formy do globulek Formy 3 g sztuk 2 640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10,00 PLN.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Wykaz i krótki opis warunków: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publicznego mogą ubiegać się wykonawcy, którzy nie podlegają wykluczeniu na podstawie art. 24 ust. 1 pkt 12–23, art. 24 ust. 5 pkt 1, art. 24 ust. 5 pkt 8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są uprawnieni do sprzedaży surowców farmaceutycznych, zgodnie z ustawą z dnia 6 września 2001 r. Prawo farmaceutyczne (tekst jednolity Dz.U. z 2019 poz. 499) – nie dotyczy grupy 7 i 8. Ocena spełniania warunków udziału w postępowaniu będzie dokonana na zasadzie spełnia/nie spełnia.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celu wykazania spełniania przez Wykonawcę ww. warunku udziału w postępowaniu należy przedłożyć: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Zezwolenie na obrót produktami leczniczymi, zgodnie z ustawą Prawo farmaceutyczne z dnia 6 września 2001 r. (tekst jednolity: Dz.U. z 2019 r., poz. 499 ze zm.), dotyczy hurtowni farmaceutycznej, wytwórcy, składu konsygnacyjnego (odpowiednio):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lub koncesja na podjęcie działalności gospodarczej w zakresie prowadzenia hurtowni farmaceutycznej, a w przypadku składania oferty na substancje psychotropowe i środki odurzające – odpowiednio wymagane zezwolenie,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zezwolenie Głównego Inspektora Farmaceutycznego na wytwarzanie produktów leczniczych, jeżeli Wykonawca jest wytwórcą,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w przypadku Wykonawcy prowadzącego skład konsygnacyjny – zezwolenie na prowadzenie składu zawierające uprawnienia przyznane przez Głównego Inspektora Farmaceutycznego w zakresie obrotu produktami leczniczymi.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formułuje szczegółowych wymagań w zakresie powyższego warunku udziału w postępowaniu.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Dostawy zamawianego asortymentu będzie realizowana na podstawie zamówień składanych w zależności od zapotrzebowania Zamawiającego. Dostawa zamawianego ww. asortymentu odbywać się będzie transportem organizowanym przez dostawcę na jego koszt i ryzyko w warunkach określonych w rozporządzeniu M. Zdrowia z dnia 13 maja 2015 r. w sprawie wymagań dobrej praktyki dystrybucyjnej. Dostarczony asortyment musi posiadać okres przydatności nie krótszy niż 12 miesięcy licząc od daty dostarczenia do apteki szpitalnej, w 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wyjątkowych sytuacjach za zgodą kierownika apteki okres ten może być krótszy. Dostawy mają odbywać się do apteki szpitalnej w godz. 8.00–14.00.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Projekt umowy na dostawę stanowi załącznik do niniejszej specyfikacji.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Przyjęcie przez Wykonawcę warunków udziału w postępowaniu jest jednoznaczne z zaakceptowaniem wzoru umowy proponowanego przez Zamawiającego.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04/05/2020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09:30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 (od ustalonej daty składania ofert)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04/05/2020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10:30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Siedziba Zamawiającego, pokój nr 1.9, Bud. Działu Technicznego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Jest to zamówienie o charakterze powtarzającym się: nie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Stosowane będą płatności elektroniczne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I.A. Dokumenty wymagane na etapie składania ofert: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1. oświadczenie JEDZ stanowiące wstępne potwierdzenie, że Wyk. nie podlega wykluczeniu i spełnia warunki udziału w postępowaniu;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formularz ofertowy wg wzoru określonego w zał. do SIWZ;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3. upoważnienie (pełnomocnictwo) do podpisania oferty/JEDZ;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4. dowód wniesienia wadium.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terminie 3 dni od dnia zamieszczenia na stronie internetowej informacji z otwarcia ofert należy złożyć: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oświadczenie Wykonawcy o przynależności albo braku przynależności do tej samej grupy kapitałowej.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Dokumenty składane na wezwanie Zamawiającego: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B. koncesja, zezwolenie lub licencja;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C. w celu wykazania braku podstaw do wykluczenia z postępowania o udzielenie zamówienia Zamawiający żąda od Wykonawcy: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informacji z KRK w zakresie określonym w art. 24 ust. 1 pkt 13, 14 i 21 ustawy, wystawionej nie wcześniej niż 6 mies. przed upływem terminu składania ofert,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odpisu z właściwego rejestru lub z centralnej ewidencji i informacji o działalności gospodarczej, jeżeli odrębne przepisy wymagają wpisu do rejestru lub ewidencji, w celu potwierdzenia braku podstaw wykluczenia na podst. art. 24 ust. 5 pkt 1 ustawy,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braku zakazu ubiegania się o zamówienia publiczne,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oświadczenia Wykonawcy o braku wydania wobec niego prawomocnego wyroku sądu lub ostatecznej decyzji adm. o zaleganiu z uiszczaniem podatków, opłat lub składek na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ubezp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społ. lub zdrowotne albo – w przypadku wydania takiego wyroku lub decyzji – dok. potwierdzających dokonanie płatności tych należności wraz z ewentualnymi odsetkami lub grzywnami lub zawarcie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porozu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oświadczenia Wykonawcy o niezaleganiu z opłacaniem podatków i opłat lokalnych,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zaświadczenia właściwego naczelnika urzędu skarbowego potwierdzającego, że Wykonawca nie zalega z opłacaniem podatków, wystawionego nie wcześniej niż 3 mies. przed upływem terminu składania ofert, lub innego dokumentu potwierdzającego, że Wyk. zawarł porozumienie z właściwym organem podatkowym w sprawie spłat tych należności wraz z ewentualnymi odsetkami albo wniosków o dopuszczenie do udziału w postępowaniu lub grzywnami, w szczególności uzyskał przewidziane prawem zwolnienie, odroczenie lub rozłożenie na raty zaległych płatności lub wstrzymanie w całości wykonania decyzji właściwego organu,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zaświadczenia właściwej terenowej jednostki organizacyjnej ZUS lub KRUS albo innego dokumentu potwierdzającego, że Wykonawca nie zalega z opłacaniem składek na 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ubezpieczenia społeczne lub zdrowotne, wystawionego nie wcześniej niż 3 mies. przed upływem terminu składania ofert, lub innego dokumentu potwierdzającego, że Wyk. zawarł porozumienie z właściwym organem w sprawie spłat tych należności wraz z ewentualnymi odsetkami lub grzywnami, w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uzyskał przewidziane prawem zwolnienie, odroczenie lub rozłożenie na raty zaległych płatności lub wstrzymanie w całości wykonania decyzji właściwego organu.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D. Wymagania dotyczące Wyk. zagranicznych określa pkt 8.5.3 SIWZ: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składany w odniesieniu do osoby mającej miejsce zamieszkania poza terytorium Rzeczypospolitej Polskiej w zakresie określonym w art. 24 ust. 1 pkt 14 i 21,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E. Wyk. wspólnie ubiegający się o udzielenie zam. zobowiązani są ustanowić pełnomocnika do reprezentowania ich w postęp. o udzielenie zam. albo reprezentowania w post. i zawarcia umowy w sprawie zam.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publ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Każdy z Wyk. wspólnie ubiegających się o udzielenie zam. zobowiązany jest do złożenia JEDZ. Szczegółowe wymagania dot. Wyk. wspólnie ubiegają się o udzielenie zam. określa pkt 11 SIWZ.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F. Dokumenty dotyczące przedmiotu zam. – oświadczenie, że Wykonawca posiada aktualne pozwolenia na dopuszczenie do obrotu oferowanego asortymentu.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przewiduje zastosowanie procedury przewidzianej w art. 24aa.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 miesięcy + 60 dni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6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7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Kod pocztowy: 02-676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8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9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7. Odwołanie wnosi się w terminach określonych w art. 182 ustawy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23.11.2012 r. Prawo pocztowe (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VI.4.4)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Oficjalna nazwa: Urząd Zamówień Publicznych, Departament </w:t>
      </w:r>
      <w:proofErr w:type="spellStart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20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224587801</w:t>
      </w: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224587800</w:t>
      </w:r>
    </w:p>
    <w:p w:rsidR="00EA58E6" w:rsidRPr="00EA58E6" w:rsidRDefault="00EA58E6" w:rsidP="00EA58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21" w:tgtFrame="_blank" w:history="1">
        <w:r w:rsidRPr="00EA58E6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http://www.uzp.gov.pl</w:t>
        </w:r>
      </w:hyperlink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EA58E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EA58E6" w:rsidRPr="00EA58E6" w:rsidRDefault="00EA58E6" w:rsidP="00EA58E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A58E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27/03/2020</w:t>
      </w:r>
    </w:p>
    <w:p w:rsidR="00D43096" w:rsidRDefault="00D43096"/>
    <w:sectPr w:rsidR="00D430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C031C4"/>
    <w:multiLevelType w:val="multilevel"/>
    <w:tmpl w:val="E0C2F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8E6"/>
    <w:rsid w:val="00575F72"/>
    <w:rsid w:val="00D43096"/>
    <w:rsid w:val="00EA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2BF0D9-9805-4119-A157-F3EA4E046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ata1">
    <w:name w:val="Data1"/>
    <w:basedOn w:val="Domylnaczcionkaakapitu"/>
    <w:rsid w:val="00EA58E6"/>
  </w:style>
  <w:style w:type="character" w:customStyle="1" w:styleId="oj">
    <w:name w:val="oj"/>
    <w:basedOn w:val="Domylnaczcionkaakapitu"/>
    <w:rsid w:val="00EA58E6"/>
  </w:style>
  <w:style w:type="character" w:customStyle="1" w:styleId="heading">
    <w:name w:val="heading"/>
    <w:basedOn w:val="Domylnaczcionkaakapitu"/>
    <w:rsid w:val="00EA58E6"/>
  </w:style>
  <w:style w:type="character" w:styleId="Hipercze">
    <w:name w:val="Hyperlink"/>
    <w:basedOn w:val="Domylnaczcionkaakapitu"/>
    <w:uiPriority w:val="99"/>
    <w:semiHidden/>
    <w:unhideWhenUsed/>
    <w:rsid w:val="00EA58E6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EA5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A5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A58E6"/>
  </w:style>
  <w:style w:type="character" w:customStyle="1" w:styleId="timark">
    <w:name w:val="timark"/>
    <w:basedOn w:val="Domylnaczcionkaakapitu"/>
    <w:rsid w:val="00EA58E6"/>
  </w:style>
  <w:style w:type="character" w:customStyle="1" w:styleId="nutscode">
    <w:name w:val="nutscode"/>
    <w:basedOn w:val="Domylnaczcionkaakapitu"/>
    <w:rsid w:val="00EA58E6"/>
  </w:style>
  <w:style w:type="character" w:customStyle="1" w:styleId="cpvcode">
    <w:name w:val="cpvcode"/>
    <w:basedOn w:val="Domylnaczcionkaakapitu"/>
    <w:rsid w:val="00EA58E6"/>
  </w:style>
  <w:style w:type="paragraph" w:styleId="Tekstdymka">
    <w:name w:val="Balloon Text"/>
    <w:basedOn w:val="Normalny"/>
    <w:link w:val="TekstdymkaZnak"/>
    <w:uiPriority w:val="99"/>
    <w:semiHidden/>
    <w:unhideWhenUsed/>
    <w:rsid w:val="00EA58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58E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50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1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0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94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7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731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602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52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2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4950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994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7969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845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74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821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958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305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39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411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352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015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825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92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92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359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754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509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75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821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32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952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4184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5949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5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140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818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6694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80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925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16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08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975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86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49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795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8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0648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3875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6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5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900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201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7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9166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502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725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276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8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10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441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315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55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675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27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803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26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721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321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75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14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300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360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766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87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293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816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9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154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1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549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537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376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057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929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3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134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684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530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103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178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004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632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837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91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266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658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415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982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3362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348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338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8421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832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634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222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603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072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88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172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862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560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340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85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772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18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2495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197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66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7457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61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03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9432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2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921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0341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737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47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632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9524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7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87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192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08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0279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09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29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45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1847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85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357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713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090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048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411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28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80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091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457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17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007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685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552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553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332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4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967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663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124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389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337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7100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7736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17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46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84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5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67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4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15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605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618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131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74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9928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122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43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94620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478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4013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083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612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84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6424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92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71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026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89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64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6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840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36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49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608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526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35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179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9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98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7450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02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1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3059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139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06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925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50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3340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3497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523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15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4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1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50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068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63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0816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40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5509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85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1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931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425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99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071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5510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00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7251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27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310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38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97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7201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19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317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080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2978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03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931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305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71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590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267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174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7375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29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465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480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3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649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60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83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993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71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595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02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8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9874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7289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99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816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5332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441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415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94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6761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050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66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936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994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41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7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76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857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224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57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856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191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928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746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48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893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873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0265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658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228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952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5327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98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623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478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61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453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232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76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86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255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216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53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287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65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05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9237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674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62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66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76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08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142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83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243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d.europa.eu/udl?uri=TED:NOTICE:152573-2020:TEXT:PL:HTML" TargetMode="External"/><Relationship Id="rId13" Type="http://schemas.openxmlformats.org/officeDocument/2006/relationships/hyperlink" Target="http://www.bip.krakow.pl/?bip_id=40&amp;mmi=10567" TargetMode="External"/><Relationship Id="rId18" Type="http://schemas.openxmlformats.org/officeDocument/2006/relationships/hyperlink" Target="mailto:odwolania@uzp.gov.pl?subject=TED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uzp.gov.pl" TargetMode="External"/><Relationship Id="rId7" Type="http://schemas.openxmlformats.org/officeDocument/2006/relationships/hyperlink" Target="https://ted.europa.eu/udl?uri=TED:NOTICE:152573-2020:TEXT:PL:HTML" TargetMode="External"/><Relationship Id="rId12" Type="http://schemas.openxmlformats.org/officeDocument/2006/relationships/hyperlink" Target="http://www.zeromski-szpital.pl" TargetMode="External"/><Relationship Id="rId17" Type="http://schemas.openxmlformats.org/officeDocument/2006/relationships/hyperlink" Target="http://www.uzp.gov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odwolania@uzp.gov.pl?subject=TED" TargetMode="External"/><Relationship Id="rId20" Type="http://schemas.openxmlformats.org/officeDocument/2006/relationships/hyperlink" Target="mailto:odwolania@uzp.gov.pl?subject=TED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ted.europa.eu/udl?uri=TED:NOTICE:152573-2020:TEXT:PL:HTML" TargetMode="External"/><Relationship Id="rId11" Type="http://schemas.openxmlformats.org/officeDocument/2006/relationships/hyperlink" Target="http://www.zeromski-szpital.pl" TargetMode="External"/><Relationship Id="rId5" Type="http://schemas.openxmlformats.org/officeDocument/2006/relationships/hyperlink" Target="https://ted.europa.eu/udl?uri=TED:NOTICE:152573-2020:TEXT:PL:HTM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zpubl@zeromski-szpital.pl?subject=TED" TargetMode="External"/><Relationship Id="rId19" Type="http://schemas.openxmlformats.org/officeDocument/2006/relationships/hyperlink" Target="http://www.uzp.gov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ted.europa.eu/udl?uri=TED:NOTICE:152573-2020:TEXT:PL:HTML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4158</Words>
  <Characters>24951</Characters>
  <Application>Microsoft Office Word</Application>
  <DocSecurity>0</DocSecurity>
  <Lines>207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2020-03-31T07:28:00Z</cp:lastPrinted>
  <dcterms:created xsi:type="dcterms:W3CDTF">2020-04-02T06:22:00Z</dcterms:created>
  <dcterms:modified xsi:type="dcterms:W3CDTF">2020-04-02T06:22:00Z</dcterms:modified>
</cp:coreProperties>
</file>