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2CC5" w:rsidRDefault="003C2CC5" w:rsidP="003C2CC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fldChar w:fldCharType="begin"/>
      </w:r>
      <w:r>
        <w:rPr>
          <w:rFonts w:ascii="Times New Roman" w:eastAsia="Times New Roman" w:hAnsi="Times New Roman"/>
          <w:sz w:val="24"/>
          <w:szCs w:val="24"/>
          <w:lang w:eastAsia="pl-PL"/>
        </w:rPr>
        <w:instrText xml:space="preserve"> HYPERLINK "https://ted.europa.eu/udl?uri=TED:NOTICE:156938-2020:TEXT:PL:HTML" \l "id0-I." </w:instrText>
      </w:r>
      <w:r>
        <w:rPr>
          <w:rFonts w:ascii="Times New Roman" w:eastAsia="Times New Roman" w:hAnsi="Times New Roman"/>
          <w:sz w:val="24"/>
          <w:szCs w:val="24"/>
          <w:lang w:eastAsia="pl-PL"/>
        </w:rPr>
        <w:fldChar w:fldCharType="separate"/>
      </w:r>
      <w:r>
        <w:rPr>
          <w:rStyle w:val="Hipercze"/>
          <w:rFonts w:ascii="Times New Roman" w:eastAsia="Times New Roman" w:hAnsi="Times New Roman"/>
          <w:color w:val="0000FF"/>
          <w:sz w:val="24"/>
          <w:szCs w:val="24"/>
          <w:lang w:eastAsia="pl-PL"/>
        </w:rPr>
        <w:t>I.</w:t>
      </w:r>
      <w:r>
        <w:rPr>
          <w:rFonts w:ascii="Times New Roman" w:eastAsia="Times New Roman" w:hAnsi="Times New Roman"/>
          <w:sz w:val="24"/>
          <w:szCs w:val="24"/>
          <w:lang w:eastAsia="pl-PL"/>
        </w:rPr>
        <w:fldChar w:fldCharType="end"/>
      </w:r>
    </w:p>
    <w:p w:rsidR="003C2CC5" w:rsidRDefault="003C2CC5" w:rsidP="003C2CC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7" w:anchor="id1-II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II.</w:t>
        </w:r>
      </w:hyperlink>
    </w:p>
    <w:p w:rsidR="003C2CC5" w:rsidRDefault="003C2CC5" w:rsidP="003C2CC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8" w:anchor="id2-III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III.</w:t>
        </w:r>
      </w:hyperlink>
    </w:p>
    <w:p w:rsidR="003C2CC5" w:rsidRDefault="003C2CC5" w:rsidP="003C2CC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9" w:anchor="id3-IV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IV.</w:t>
        </w:r>
      </w:hyperlink>
    </w:p>
    <w:p w:rsidR="003C2CC5" w:rsidRDefault="003C2CC5" w:rsidP="003C2CC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0" w:anchor="id4-VI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VI.</w:t>
        </w:r>
      </w:hyperlink>
    </w:p>
    <w:p w:rsidR="003C2CC5" w:rsidRDefault="003C2CC5" w:rsidP="003C2C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Polska-Oświęcim: Odczynniki laboratoryjne</w:t>
      </w:r>
    </w:p>
    <w:p w:rsidR="003C2CC5" w:rsidRDefault="003C2CC5" w:rsidP="003C2C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2020/S 066-156938</w:t>
      </w:r>
    </w:p>
    <w:p w:rsidR="003C2CC5" w:rsidRDefault="003C2CC5" w:rsidP="003C2C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o zamówieniu</w:t>
      </w:r>
    </w:p>
    <w:p w:rsidR="003C2CC5" w:rsidRDefault="003C2CC5" w:rsidP="003C2C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Dostawy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>Dyrektywa 2014/24/UE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Osoba do kontaktów: Zdzisława Wojtyła-Kuszewska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1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zamowienia@szpitaloswiecim.pl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33-84-48-230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Główny adres: </w:t>
      </w:r>
      <w:hyperlink r:id="rId12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www.szpitaloswiecim.pl</w:t>
        </w:r>
      </w:hyperlink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Adres profilu nabywcy: </w:t>
      </w:r>
      <w:hyperlink r:id="rId13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www.szpitaloswiecim.pl</w:t>
        </w:r>
      </w:hyperlink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4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www.szpitaloswiecim.pl;www.przetargi.propublico.pl</w:t>
        </w:r>
      </w:hyperlink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5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https://miniportal.uzp.gov.pl</w:t>
        </w:r>
      </w:hyperlink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lub wnioski o dopuszczenie do udziału w postępowaniu należy przesyłać na adres podany powyżej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Podmiot prawa publicznego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Zdrowie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II: Przedmiot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odczynników do biochemii i immunochemii wraz z dzierżawą platformy biochemiczno-immunochemicznej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referencyjny: ZOZ.DZP.271.2.II.2020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33696500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Dostawy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odczynników do biochemii i immunochemii wraz z dzierżawą platformy biochemiczno-immunochemicznej – zgodnie z zapisami zawartymi w formularzu cenowym stanowiącym załącznik nr 2 do SIWZ.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To zamówienie podzielone jest na części: nie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odczynników do biochemii i immunochemii wraz z dzierżawą platformy biochemiczno-immunochemicznej – zgodnie z zapisami zawartymi w formularzu cenowym stanowiącym załącznik nr 2 do SIWZ.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24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wymogu.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wymogu.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wymogu.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Zgodnie ze Specyfikacją Istotnych Warunków Zamówienia i ze złożoną ofertą.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IV: Procedura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Procedura otwarta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IV.1.8)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06/05/2020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Polski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 (od ustalonej daty składania ofert)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06/05/2020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11:00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Miejsce: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POLSKA, Zespół Opieki Zdrowotnej w Oświęcimiu, 32-600 Oświęcim, ul. Wysokie Brzegi 4, Dział Zamówień Publicznych – pok. 33.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Jest to zamówienie o charakterze powtarzającym się: tak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Przewidywany termin publikacji kolejnych ogłoszeń: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Maj 2022 r.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Zamawiający przed udzieleniem zamówienia wezwie Wykonawcę, którego oferta została najwyżej oceniona do złożenia w wyznaczonym nie krótszym niż 10 dni terminie aktualnych na dzień złożenia następujących oświadczeń kub dokumentów: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Aktualny odpis z właściwego rejestru, jeżeli odrębne przepisy wymagają wpisu do rejestru, w celu wykazania braku podstaw do wykluczenia w oparciu o art. 24 ust. 5 pkt 1 ustawy, wystawiony nie wcześniej niż 6 miesięcy przed upływem terminu składania ofert, a w stosunku do osób fizycznych oświadczenia w zakresie art. 24 ust. 5 pkt 1 ustawy;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 – wystawione nie wcześniej niż 3 miesiące przed upływem terminu składania ofert.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zakresie opisu przedmiotu zamówienia: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 Deklarację zgodności CE dla odczynników i platformy biochemiczno-immunochemicznej.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Ulotki odczynnikowe lub metodyki w wersji papierowej, w języku polskim dla wszystkich odczynników, kalibratorów i kontrolek potwierdzające stawiane wymagania.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 Karty charakterystyki substancji niebezpiecznych lub oświadczenie jeśli odczynnik jej nie wymaga.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Instrukcja obsługi platformy w języku polskim w postaci wydruku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Oświadczenia Wykonawcy, że zaoferowane wyroby spełniają wymagania określone w ustawie z dnia 20 maja 2010 r. o wyrobach medycznych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Dz.U. z 2020 r., poz. 186) a ponadto, że Wykonawca jest gotowy w każdej chwili na żądanie Zamawiającego potwierdzić to poprzez przesłanie kopii odpowiedniej dokumentacji (o ile dotyczy) lub oświadczenie, że oferowany produkt nie jest wyrobem medycznym – załącznik nr 5 do SIWZ.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Oświadczenie Wykonawcy, że zobowiązuje się do dostarczania zaktualizowanych kart charakterystyki substancji niebezpiecznej – załącznik nr 5 do SIWZ.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Oświadczenie Wykonawcy, w którym deklaruje się, że połączy i zaoferowana platforma biochemiczno-immunochemiczna będzie działała z systemem informatycznym Centrum firmy MARCEL S.A. (będącym na wyposażeniu Zamawiającego) na własny koszt w ramach realizacji przedmiotowej umowy – załącznik nr 5 do SIWZ.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h) Oświadczenie Wykonawcy, że zobowiązuję się do rozładunku i montażu zaoferowanej platformy biochemiczno-immunochemicznej – załącznik nr 5 do SIWZ.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i) Oświadczenie Wykonawcy, że zobowiązuję się do uruchomienia i przeprowadzenia szkolenia potwierdzonego certyfikatem pracowników Laboratorium Analitycznego (15 osób) w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siedzibie Zamawiającego, w zakresie obsługi platformy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biochemiczo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-immunochemicznej w terminie 7 dni roboczych od złożenia zamówienia przez kierownika Laboratorium Analitycznego – załącznik nr 5 do SIWZ.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j) Oświadczenie Wykonawcy, że dostarczone odczynniki, kalibratory i kontrolki będą miały jeszcze ¾ okresu ważności – załącznik nr 5 do SIWZ.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Oferta musi być zabezpieczona wadium.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Wartość wadium wynosi 31 000,00 PLN.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wnosi się przed upływem składania ofert.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może być wnoszone w jednej lub kilku formach – zgodnie ze specyfikacją istotnych warunków zamówienia.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Oficjalna nazwa: Krajowa Izba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Odwolawcza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 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Oficjalna nazwa: Krajowa Izba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Odwolawcza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 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odwołań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: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Środki ochrony prawnej przysługują Wykonawcy, jeżeli ma lub miał interes w uzyskaniu zamówienia oraz poniósł lub może ponieść szkodę w wyniku naruszenia przez Zamawiającego przepisów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;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 Informacja o niezgodnej z przepisami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czynności: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1.1. Wykonawca może w terminie przewidzianym do wniesienia odwołania poinformować Zamawiającego o niezgodnej z przepisami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czynności podjętej przez niego lub zaniechaniu czynności, do której jest on zobowiązany na podstawie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na które nie przysługuje odwołanie.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1.2. W przypadku uznania zasadności przekazanej informacji Zamawiający powtarza czynność albo dokona czynności zaniechanej, informując o tym Wykonawców w sposób przewidziany w ustawie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czynności; na powyższe nie przysługuje odwołanie.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 Odwołanie przysługuje wyłącznie od niezgodnej z przepisami ustawy czynności Zamawiającego podjętej w postępowaniu o udzielenie zamówienia lub zaniechania czynności, do której Zamawiający jest zobowiązany na podstawie ustawy: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2.1. Jeżeli wartość zamówienia jest mniejsza niż kwoty określone w przepisach wydanych na podstawie art. 11 ust. 8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odwołanie przysługuje wyłącznie wobec czynności: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1) wyboru trybu negocjacji bez ogłoszenia, zamówienia z wolnej ręki lub zapytania o cenę;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2) określenia warunków udziału w postępowaniu;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3) wykluczenia odwołującego z postępowania o udzielenie zamówienia;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4) odrzucenia oferty odwołującego;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5) opisu przedmiotu zamówienia;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6) wyboru najkorzystniejszej oferty.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2.2. Zamawiający przesyła niezwłocznie, nie później niż w terminie 2 dni od dnia otrzymania, kopię odwołania innym Wykonawcom uczestniczącym w postępowaniu o udzielenie zamówienia, a jeżeli odwołanie dotyczy treści ogłoszenia o zamówieniu lub postanowień SIWZ, zamieszcza ją również na stronie internetowej, na której jest zamieszczone ogłoszenie o zamówieniu lub jest udostępniona SIWZ, wzywając Wykonawców do przystąpienia do postępowania odwoławczego.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2.3. Wykonawca może zgłosić przystąpienie do postępowania odwoławczego w terminie 3 dni od dnia otrzymania kopii odwołania, wskazując stronę, do której przystępuje, i interes w uzyskaniu rozstrzygnięcia na korzyść strony, do której przystępuje.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2.4. O oddaleniu odwołania lub jego uwzględnieniu Izba orzeka w wyroku.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2.5. Odwołanie wnosi się do Prezesa Izby przesyłając jego kopię Zamawiającemu przed upływem terminu do wniesienia odwołania w taki sposób, aby mógł on zapoznać się z jego treścią przed upływem tego terminu.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2.6 Odwołanie wnosi się w terminach określonych w art. 182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 Skarga do sądu: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3.1 Na orzeczenie Izby stronom oraz uczestnikom postępowania odwoławczego przysługuje skarga do sądu.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1.2. Skargę wnosi się za pośrednictwem Prezesa Izby w terminie 7 dni od dnia doręczenia orzeczenia Izby, przesyłając jednocześnie jej odpis przeciwnikowi skargi.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a) Prezes Izby przekazuje skargę wraz z aktami postępowania odwoławczego właściwemu sądowi w terminie 7 dni od dnia jej otrzymania.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b) Skarga powinna czynić zadość wymaganiom przewidzianym dla pisma procesowego oraz zawierać oznaczenie zaskarżonego orzeczenia, przytoczenie zarzutów, zwięzłe ich uzasadnienie, wskazanie dowodów, a także wniosek o uchylenie orzeczenia lub zmianę orzeczenia w całości lub części.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c) Sąd rozpoznaje sprawę niezwłocznie, nie później jednak niż w terminie 1 miesiąca od dnia wpływu skargi do sądu.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d) Od wyroku sądu lub postanowienia kończącego postępowanie w sprawie nie przysługuje skarga kasacyjna. </w:t>
      </w:r>
    </w:p>
    <w:p w:rsidR="003C2CC5" w:rsidRDefault="003C2CC5" w:rsidP="003C2CC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 Przepisy dotyczące środków ochrony prawnej znajdują się w art. 179–198g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VI.4.4)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Oficjalna nazwa: Krajowa Izba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Odwolawcza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 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3C2CC5" w:rsidRDefault="003C2CC5" w:rsidP="003C2CC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31/03/2020</w:t>
      </w:r>
    </w:p>
    <w:p w:rsidR="003C2CC5" w:rsidRPr="003C2CC5" w:rsidRDefault="003C2CC5" w:rsidP="003C2CC5"/>
    <w:p w:rsidR="00F8425D" w:rsidRPr="003C2CC5" w:rsidRDefault="00F8425D" w:rsidP="003C2CC5">
      <w:bookmarkStart w:id="0" w:name="_GoBack"/>
      <w:bookmarkEnd w:id="0"/>
    </w:p>
    <w:sectPr w:rsidR="00F8425D" w:rsidRPr="003C2CC5" w:rsidSect="004A306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5A6" w:rsidRDefault="00F925A6">
      <w:r>
        <w:separator/>
      </w:r>
    </w:p>
  </w:endnote>
  <w:endnote w:type="continuationSeparator" w:id="0">
    <w:p w:rsidR="00F925A6" w:rsidRDefault="00F92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5A6" w:rsidRDefault="00F925A6">
      <w:r>
        <w:separator/>
      </w:r>
    </w:p>
  </w:footnote>
  <w:footnote w:type="continuationSeparator" w:id="0">
    <w:p w:rsidR="00F925A6" w:rsidRDefault="00F92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CDB" w:rsidRDefault="00FE0C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CDB" w:rsidRDefault="00FE0C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CDB" w:rsidRDefault="00FE0C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4750EE"/>
    <w:multiLevelType w:val="multilevel"/>
    <w:tmpl w:val="F5069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2"/>
  </w:num>
  <w:num w:numId="3">
    <w:abstractNumId w:val="25"/>
  </w:num>
  <w:num w:numId="4">
    <w:abstractNumId w:val="31"/>
  </w:num>
  <w:num w:numId="5">
    <w:abstractNumId w:val="12"/>
  </w:num>
  <w:num w:numId="6">
    <w:abstractNumId w:val="17"/>
  </w:num>
  <w:num w:numId="7">
    <w:abstractNumId w:val="28"/>
  </w:num>
  <w:num w:numId="8">
    <w:abstractNumId w:val="23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9"/>
  </w:num>
  <w:num w:numId="12">
    <w:abstractNumId w:val="33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1"/>
  </w:num>
  <w:num w:numId="17">
    <w:abstractNumId w:val="8"/>
  </w:num>
  <w:num w:numId="18">
    <w:abstractNumId w:val="30"/>
  </w:num>
  <w:num w:numId="19">
    <w:abstractNumId w:val="16"/>
  </w:num>
  <w:num w:numId="20">
    <w:abstractNumId w:val="7"/>
  </w:num>
  <w:num w:numId="21">
    <w:abstractNumId w:val="5"/>
  </w:num>
  <w:num w:numId="22">
    <w:abstractNumId w:val="34"/>
  </w:num>
  <w:num w:numId="23">
    <w:abstractNumId w:val="3"/>
  </w:num>
  <w:num w:numId="24">
    <w:abstractNumId w:val="15"/>
  </w:num>
  <w:num w:numId="25">
    <w:abstractNumId w:val="27"/>
  </w:num>
  <w:num w:numId="26">
    <w:abstractNumId w:val="20"/>
  </w:num>
  <w:num w:numId="27">
    <w:abstractNumId w:val="13"/>
  </w:num>
  <w:num w:numId="28">
    <w:abstractNumId w:val="10"/>
  </w:num>
  <w:num w:numId="29">
    <w:abstractNumId w:val="19"/>
  </w:num>
  <w:num w:numId="30">
    <w:abstractNumId w:val="24"/>
  </w:num>
  <w:num w:numId="31">
    <w:abstractNumId w:val="6"/>
  </w:num>
  <w:num w:numId="32">
    <w:abstractNumId w:val="0"/>
  </w:num>
  <w:num w:numId="33">
    <w:abstractNumId w:val="18"/>
  </w:num>
  <w:num w:numId="34">
    <w:abstractNumId w:val="29"/>
  </w:num>
  <w:num w:numId="35">
    <w:abstractNumId w:val="1"/>
  </w:num>
  <w:num w:numId="36">
    <w:abstractNumId w:val="2"/>
  </w:num>
  <w:num w:numId="37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5A6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C2CC5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  <w:rsid w:val="00F925A6"/>
    <w:rsid w:val="00FE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8F22B6-9DD0-47F1-BAB4-B6809C89D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2CC5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styleId="Hipercze">
    <w:name w:val="Hyperlink"/>
    <w:uiPriority w:val="99"/>
    <w:unhideWhenUsed/>
    <w:rsid w:val="003C2C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56938-2020:TEXT:PL:HTML" TargetMode="External"/><Relationship Id="rId13" Type="http://schemas.openxmlformats.org/officeDocument/2006/relationships/hyperlink" Target="http://www.szpitaloswiecim.pl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ted.europa.eu/udl?uri=TED:NOTICE:156938-2020:TEXT:PL:HTML" TargetMode="External"/><Relationship Id="rId12" Type="http://schemas.openxmlformats.org/officeDocument/2006/relationships/hyperlink" Target="http://www.szpitaloswiecim.pl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mowienia@szpitaloswiecim.pl?subject=TE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iniportal.uzp.gov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156938-2020:TEXT:PL:HTM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56938-2020:TEXT:PL:HTML" TargetMode="External"/><Relationship Id="rId14" Type="http://schemas.openxmlformats.org/officeDocument/2006/relationships/hyperlink" Target="http://www.szpitaloswiecim.pl;www.przetargi.propublico.pl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1633</Words>
  <Characters>12139</Characters>
  <Application>Microsoft Office Word</Application>
  <DocSecurity>0</DocSecurity>
  <Lines>101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3</cp:revision>
  <cp:lastPrinted>2001-02-10T19:50:00Z</cp:lastPrinted>
  <dcterms:created xsi:type="dcterms:W3CDTF">2020-04-02T15:37:00Z</dcterms:created>
  <dcterms:modified xsi:type="dcterms:W3CDTF">2020-04-02T15:38:00Z</dcterms:modified>
</cp:coreProperties>
</file>