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ED24DD" w:rsidRDefault="00684AB8" w:rsidP="00F01DEB">
      <w:pPr>
        <w:rPr>
          <w:rFonts w:ascii="Tahoma" w:hAnsi="Tahoma" w:cs="Tahoma"/>
          <w:b/>
          <w:bCs/>
          <w:sz w:val="18"/>
          <w:szCs w:val="18"/>
        </w:rPr>
      </w:pPr>
      <w:r w:rsidRPr="00ED24DD">
        <w:rPr>
          <w:rFonts w:ascii="Tahoma" w:hAnsi="Tahoma" w:cs="Tahoma"/>
          <w:b/>
          <w:bCs/>
          <w:sz w:val="18"/>
          <w:szCs w:val="18"/>
        </w:rPr>
        <w:t>Politechnika Częstochowska</w:t>
      </w:r>
    </w:p>
    <w:p w:rsidR="006D4AB3" w:rsidRPr="00ED24DD" w:rsidRDefault="00684AB8" w:rsidP="00F01DEB">
      <w:pPr>
        <w:rPr>
          <w:rFonts w:ascii="Tahoma" w:hAnsi="Tahoma" w:cs="Tahoma"/>
          <w:b/>
          <w:bCs/>
          <w:sz w:val="18"/>
          <w:szCs w:val="18"/>
        </w:rPr>
      </w:pPr>
      <w:r w:rsidRPr="00ED24DD">
        <w:rPr>
          <w:rFonts w:ascii="Tahoma" w:hAnsi="Tahoma" w:cs="Tahoma"/>
          <w:b/>
          <w:bCs/>
          <w:sz w:val="18"/>
          <w:szCs w:val="18"/>
        </w:rPr>
        <w:t>Dąbrowskiego</w:t>
      </w:r>
      <w:r w:rsidR="006D4AB3" w:rsidRPr="00ED24DD">
        <w:rPr>
          <w:rFonts w:ascii="Tahoma" w:hAnsi="Tahoma" w:cs="Tahoma"/>
          <w:b/>
          <w:bCs/>
          <w:sz w:val="18"/>
          <w:szCs w:val="18"/>
        </w:rPr>
        <w:t xml:space="preserve"> </w:t>
      </w:r>
      <w:r w:rsidRPr="00ED24DD">
        <w:rPr>
          <w:rFonts w:ascii="Tahoma" w:hAnsi="Tahoma" w:cs="Tahoma"/>
          <w:b/>
          <w:bCs/>
          <w:sz w:val="18"/>
          <w:szCs w:val="18"/>
        </w:rPr>
        <w:t>69</w:t>
      </w:r>
    </w:p>
    <w:p w:rsidR="006D4AB3" w:rsidRPr="00ED24DD" w:rsidRDefault="00684AB8" w:rsidP="00F01DEB">
      <w:pPr>
        <w:rPr>
          <w:rFonts w:ascii="Tahoma" w:hAnsi="Tahoma" w:cs="Tahoma"/>
          <w:b/>
          <w:bCs/>
          <w:sz w:val="18"/>
          <w:szCs w:val="18"/>
        </w:rPr>
      </w:pPr>
      <w:r w:rsidRPr="00ED24DD">
        <w:rPr>
          <w:rFonts w:ascii="Tahoma" w:hAnsi="Tahoma" w:cs="Tahoma"/>
          <w:b/>
          <w:bCs/>
          <w:sz w:val="18"/>
          <w:szCs w:val="18"/>
        </w:rPr>
        <w:t>42-201</w:t>
      </w:r>
      <w:r w:rsidR="006D4AB3" w:rsidRPr="00ED24DD">
        <w:rPr>
          <w:rFonts w:ascii="Tahoma" w:hAnsi="Tahoma" w:cs="Tahoma"/>
          <w:b/>
          <w:bCs/>
          <w:sz w:val="18"/>
          <w:szCs w:val="18"/>
        </w:rPr>
        <w:t xml:space="preserve"> </w:t>
      </w:r>
      <w:r w:rsidRPr="00ED24DD">
        <w:rPr>
          <w:rFonts w:ascii="Tahoma" w:hAnsi="Tahoma" w:cs="Tahoma"/>
          <w:b/>
          <w:bCs/>
          <w:sz w:val="18"/>
          <w:szCs w:val="18"/>
        </w:rPr>
        <w:t>Częstochowa</w:t>
      </w:r>
    </w:p>
    <w:p w:rsidR="006D4AB3" w:rsidRPr="00ED24DD" w:rsidRDefault="00684AB8" w:rsidP="00F01DEB">
      <w:pPr>
        <w:pStyle w:val="Nagwek"/>
        <w:tabs>
          <w:tab w:val="clear" w:pos="4536"/>
          <w:tab w:val="clear" w:pos="9072"/>
        </w:tabs>
        <w:jc w:val="right"/>
        <w:rPr>
          <w:rFonts w:ascii="Tahoma" w:hAnsi="Tahoma" w:cs="Tahoma"/>
          <w:b/>
          <w:bCs/>
          <w:sz w:val="18"/>
          <w:szCs w:val="18"/>
        </w:rPr>
      </w:pPr>
      <w:r w:rsidRPr="00ED24DD">
        <w:rPr>
          <w:rFonts w:ascii="Tahoma" w:hAnsi="Tahoma" w:cs="Tahoma"/>
          <w:sz w:val="18"/>
          <w:szCs w:val="18"/>
        </w:rPr>
        <w:t>Częstochowa</w:t>
      </w:r>
      <w:r w:rsidR="00F623C5" w:rsidRPr="00ED24DD">
        <w:rPr>
          <w:rFonts w:ascii="Tahoma" w:hAnsi="Tahoma" w:cs="Tahoma"/>
          <w:sz w:val="18"/>
          <w:szCs w:val="18"/>
        </w:rPr>
        <w:t xml:space="preserve"> dnia: </w:t>
      </w:r>
      <w:r w:rsidRPr="00ED24DD">
        <w:rPr>
          <w:rFonts w:ascii="Tahoma" w:hAnsi="Tahoma" w:cs="Tahoma"/>
          <w:sz w:val="18"/>
          <w:szCs w:val="18"/>
        </w:rPr>
        <w:t>2019-10-2</w:t>
      </w:r>
      <w:r w:rsidR="00485920">
        <w:rPr>
          <w:rFonts w:ascii="Tahoma" w:hAnsi="Tahoma" w:cs="Tahoma"/>
          <w:sz w:val="18"/>
          <w:szCs w:val="18"/>
        </w:rPr>
        <w:t>9</w:t>
      </w:r>
    </w:p>
    <w:p w:rsidR="006D4AB3" w:rsidRPr="00ED24DD" w:rsidRDefault="006D4AB3" w:rsidP="00F01DEB">
      <w:pPr>
        <w:pStyle w:val="Nagwek"/>
        <w:tabs>
          <w:tab w:val="clear" w:pos="4536"/>
          <w:tab w:val="left" w:pos="3686"/>
          <w:tab w:val="left" w:pos="7371"/>
        </w:tabs>
        <w:rPr>
          <w:rFonts w:ascii="Tahoma" w:hAnsi="Tahoma" w:cs="Tahoma"/>
          <w:sz w:val="18"/>
          <w:szCs w:val="18"/>
        </w:rPr>
      </w:pPr>
    </w:p>
    <w:p w:rsidR="006D4AB3" w:rsidRPr="00ED24DD" w:rsidRDefault="00F623C5" w:rsidP="00F01DEB">
      <w:pPr>
        <w:pStyle w:val="Nagwek"/>
        <w:tabs>
          <w:tab w:val="clear" w:pos="4536"/>
        </w:tabs>
        <w:rPr>
          <w:rFonts w:ascii="Tahoma" w:hAnsi="Tahoma" w:cs="Tahoma"/>
          <w:sz w:val="18"/>
          <w:szCs w:val="18"/>
        </w:rPr>
      </w:pPr>
      <w:proofErr w:type="spellStart"/>
      <w:r w:rsidRPr="00ED24DD">
        <w:rPr>
          <w:rFonts w:ascii="Tahoma" w:hAnsi="Tahoma" w:cs="Tahoma"/>
          <w:b/>
          <w:bCs/>
          <w:sz w:val="18"/>
          <w:szCs w:val="18"/>
        </w:rPr>
        <w:t>L.dz.Rk</w:t>
      </w:r>
      <w:proofErr w:type="spellEnd"/>
      <w:r w:rsidRPr="00ED24DD">
        <w:rPr>
          <w:rFonts w:ascii="Tahoma" w:hAnsi="Tahoma" w:cs="Tahoma"/>
          <w:b/>
          <w:bCs/>
          <w:sz w:val="18"/>
          <w:szCs w:val="18"/>
        </w:rPr>
        <w:t xml:space="preserve"> - </w:t>
      </w:r>
      <w:r w:rsidR="00F42007">
        <w:rPr>
          <w:rFonts w:ascii="Tahoma" w:hAnsi="Tahoma" w:cs="Tahoma"/>
          <w:b/>
          <w:bCs/>
          <w:sz w:val="18"/>
          <w:szCs w:val="18"/>
        </w:rPr>
        <w:t>711</w:t>
      </w:r>
      <w:r w:rsidRPr="00ED24DD">
        <w:rPr>
          <w:rFonts w:ascii="Tahoma" w:hAnsi="Tahoma" w:cs="Tahoma"/>
          <w:b/>
          <w:bCs/>
          <w:sz w:val="18"/>
          <w:szCs w:val="18"/>
        </w:rPr>
        <w:t xml:space="preserve"> /</w:t>
      </w:r>
      <w:r w:rsidR="00F42007">
        <w:rPr>
          <w:rFonts w:ascii="Tahoma" w:hAnsi="Tahoma" w:cs="Tahoma"/>
          <w:b/>
          <w:bCs/>
          <w:sz w:val="18"/>
          <w:szCs w:val="18"/>
        </w:rPr>
        <w:t>19</w:t>
      </w:r>
      <w:bookmarkStart w:id="0" w:name="_GoBack"/>
      <w:bookmarkEnd w:id="0"/>
      <w:r w:rsidR="006D4AB3" w:rsidRPr="00ED24DD">
        <w:rPr>
          <w:rFonts w:ascii="Tahoma" w:hAnsi="Tahoma" w:cs="Tahoma"/>
          <w:sz w:val="18"/>
          <w:szCs w:val="18"/>
        </w:rPr>
        <w:tab/>
      </w:r>
    </w:p>
    <w:p w:rsidR="006D4AB3" w:rsidRPr="00ED24DD" w:rsidRDefault="006D4AB3" w:rsidP="00F01DEB">
      <w:pPr>
        <w:pStyle w:val="Nagwek"/>
        <w:tabs>
          <w:tab w:val="clear" w:pos="4536"/>
          <w:tab w:val="clear" w:pos="9072"/>
        </w:tabs>
        <w:rPr>
          <w:rFonts w:ascii="Tahoma" w:hAnsi="Tahoma" w:cs="Tahoma"/>
          <w:sz w:val="18"/>
          <w:szCs w:val="18"/>
        </w:rPr>
      </w:pPr>
    </w:p>
    <w:p w:rsidR="006D4AB3" w:rsidRPr="00ED24DD" w:rsidRDefault="006D4AB3" w:rsidP="00F01DEB">
      <w:pPr>
        <w:pStyle w:val="Nagwek"/>
        <w:tabs>
          <w:tab w:val="clear" w:pos="4536"/>
          <w:tab w:val="clear" w:pos="9072"/>
        </w:tabs>
        <w:rPr>
          <w:rFonts w:ascii="Tahoma" w:hAnsi="Tahoma" w:cs="Tahoma"/>
          <w:sz w:val="18"/>
          <w:szCs w:val="18"/>
        </w:rPr>
      </w:pPr>
    </w:p>
    <w:p w:rsidR="006D4AB3" w:rsidRPr="00ED24DD" w:rsidRDefault="006D4AB3" w:rsidP="00F01DEB">
      <w:pPr>
        <w:pStyle w:val="Nagwek1"/>
        <w:spacing w:before="0" w:after="0"/>
        <w:jc w:val="center"/>
        <w:rPr>
          <w:rFonts w:ascii="Tahoma" w:hAnsi="Tahoma" w:cs="Tahoma"/>
          <w:sz w:val="24"/>
          <w:szCs w:val="24"/>
        </w:rPr>
      </w:pPr>
      <w:r w:rsidRPr="00ED24DD">
        <w:rPr>
          <w:rFonts w:ascii="Tahoma" w:hAnsi="Tahoma" w:cs="Tahoma"/>
          <w:sz w:val="24"/>
          <w:szCs w:val="24"/>
        </w:rPr>
        <w:t>O D P O W I E D Ź</w:t>
      </w:r>
    </w:p>
    <w:p w:rsidR="006D4AB3" w:rsidRPr="00ED24DD" w:rsidRDefault="006D4AB3" w:rsidP="00F01DEB">
      <w:pPr>
        <w:pStyle w:val="Nagwek1"/>
        <w:spacing w:before="0" w:after="0"/>
        <w:jc w:val="center"/>
        <w:rPr>
          <w:rFonts w:ascii="Tahoma" w:hAnsi="Tahoma" w:cs="Tahoma"/>
          <w:sz w:val="24"/>
          <w:szCs w:val="24"/>
        </w:rPr>
      </w:pPr>
      <w:r w:rsidRPr="00ED24DD">
        <w:rPr>
          <w:rFonts w:ascii="Tahoma" w:hAnsi="Tahoma" w:cs="Tahoma"/>
          <w:sz w:val="24"/>
          <w:szCs w:val="24"/>
        </w:rPr>
        <w:t>na zapytania w sprawie SIWZ</w:t>
      </w:r>
      <w:r w:rsidR="004F555F" w:rsidRPr="00ED24DD">
        <w:rPr>
          <w:rFonts w:ascii="Tahoma" w:hAnsi="Tahoma" w:cs="Tahoma"/>
          <w:sz w:val="24"/>
          <w:szCs w:val="24"/>
        </w:rPr>
        <w:t xml:space="preserve"> oraz zmiana SIWZ</w:t>
      </w:r>
    </w:p>
    <w:p w:rsidR="004F555F" w:rsidRPr="00ED24DD" w:rsidRDefault="004F555F" w:rsidP="00F01DEB">
      <w:pPr>
        <w:ind w:left="284"/>
        <w:jc w:val="both"/>
        <w:rPr>
          <w:rFonts w:ascii="Tahoma" w:hAnsi="Tahoma" w:cs="Tahoma"/>
          <w:i/>
          <w:sz w:val="18"/>
          <w:szCs w:val="18"/>
        </w:rPr>
      </w:pPr>
    </w:p>
    <w:p w:rsidR="004F555F" w:rsidRPr="00ED24DD" w:rsidRDefault="004F555F" w:rsidP="00F01DEB">
      <w:pPr>
        <w:ind w:left="284"/>
        <w:jc w:val="both"/>
        <w:rPr>
          <w:rFonts w:ascii="Tahoma" w:hAnsi="Tahoma" w:cs="Tahoma"/>
          <w:i/>
          <w:sz w:val="18"/>
          <w:szCs w:val="18"/>
        </w:rPr>
      </w:pPr>
    </w:p>
    <w:p w:rsidR="006D4AB3" w:rsidRPr="00ED24DD" w:rsidRDefault="006D4AB3" w:rsidP="00F01DEB">
      <w:pPr>
        <w:ind w:left="284"/>
        <w:jc w:val="both"/>
        <w:rPr>
          <w:rFonts w:ascii="Tahoma" w:hAnsi="Tahoma" w:cs="Tahoma"/>
          <w:i/>
          <w:sz w:val="18"/>
          <w:szCs w:val="18"/>
        </w:rPr>
      </w:pPr>
      <w:r w:rsidRPr="00ED24DD">
        <w:rPr>
          <w:rFonts w:ascii="Tahoma" w:hAnsi="Tahoma" w:cs="Tahoma"/>
          <w:i/>
          <w:sz w:val="18"/>
          <w:szCs w:val="18"/>
        </w:rPr>
        <w:t>Szanowni Państwo,</w:t>
      </w:r>
    </w:p>
    <w:p w:rsidR="00A9791F" w:rsidRPr="00ED24DD" w:rsidRDefault="006D4AB3" w:rsidP="00F01DEB">
      <w:pPr>
        <w:pStyle w:val="Tekstpodstawowywcity3"/>
        <w:spacing w:line="240" w:lineRule="auto"/>
        <w:ind w:firstLine="0"/>
        <w:rPr>
          <w:rFonts w:ascii="Tahoma" w:hAnsi="Tahoma" w:cs="Tahoma"/>
          <w:b/>
          <w:sz w:val="18"/>
          <w:szCs w:val="18"/>
        </w:rPr>
      </w:pPr>
      <w:r w:rsidRPr="00ED24DD">
        <w:rPr>
          <w:rFonts w:ascii="Tahoma" w:hAnsi="Tahoma" w:cs="Tahoma"/>
          <w:sz w:val="18"/>
          <w:szCs w:val="18"/>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A416E" w:rsidRPr="00ED24DD">
        <w:rPr>
          <w:rFonts w:ascii="Tahoma" w:hAnsi="Tahoma" w:cs="Tahoma"/>
          <w:sz w:val="18"/>
          <w:szCs w:val="18"/>
        </w:rPr>
        <w:t>(</w:t>
      </w:r>
      <w:r w:rsidR="000A1097" w:rsidRPr="00ED24DD">
        <w:rPr>
          <w:rFonts w:ascii="Tahoma" w:hAnsi="Tahoma" w:cs="Tahoma"/>
          <w:sz w:val="18"/>
          <w:szCs w:val="18"/>
        </w:rPr>
        <w:t xml:space="preserve">Dz. U. z 2010 r. Nr 113, poz. 759, z </w:t>
      </w:r>
      <w:proofErr w:type="spellStart"/>
      <w:r w:rsidR="000A1097" w:rsidRPr="00ED24DD">
        <w:rPr>
          <w:rFonts w:ascii="Tahoma" w:hAnsi="Tahoma" w:cs="Tahoma"/>
          <w:sz w:val="18"/>
          <w:szCs w:val="18"/>
        </w:rPr>
        <w:t>późn</w:t>
      </w:r>
      <w:proofErr w:type="spellEnd"/>
      <w:r w:rsidR="000A1097" w:rsidRPr="00ED24DD">
        <w:rPr>
          <w:rFonts w:ascii="Tahoma" w:hAnsi="Tahoma" w:cs="Tahoma"/>
          <w:sz w:val="18"/>
          <w:szCs w:val="18"/>
        </w:rPr>
        <w:t>. zm.</w:t>
      </w:r>
      <w:r w:rsidR="00EA416E" w:rsidRPr="00ED24DD">
        <w:rPr>
          <w:rFonts w:ascii="Tahoma" w:hAnsi="Tahoma" w:cs="Tahoma"/>
          <w:sz w:val="18"/>
          <w:szCs w:val="18"/>
        </w:rPr>
        <w:t>)</w:t>
      </w:r>
      <w:r w:rsidRPr="00ED24DD">
        <w:rPr>
          <w:rFonts w:ascii="Tahoma" w:hAnsi="Tahoma" w:cs="Tahoma"/>
          <w:sz w:val="18"/>
          <w:szCs w:val="18"/>
        </w:rPr>
        <w:t xml:space="preserve"> w trybie </w:t>
      </w:r>
      <w:r w:rsidR="00684AB8" w:rsidRPr="00ED24DD">
        <w:rPr>
          <w:rFonts w:ascii="Tahoma" w:hAnsi="Tahoma" w:cs="Tahoma"/>
          <w:b/>
          <w:sz w:val="18"/>
          <w:szCs w:val="18"/>
        </w:rPr>
        <w:t>przetarg nieograniczony</w:t>
      </w:r>
      <w:r w:rsidRPr="00ED24DD">
        <w:rPr>
          <w:rFonts w:ascii="Tahoma" w:hAnsi="Tahoma" w:cs="Tahoma"/>
          <w:sz w:val="18"/>
          <w:szCs w:val="18"/>
        </w:rPr>
        <w:t>, na:</w:t>
      </w:r>
      <w:r w:rsidR="00A9791F" w:rsidRPr="00ED24DD">
        <w:rPr>
          <w:rFonts w:ascii="Tahoma" w:hAnsi="Tahoma" w:cs="Tahoma"/>
          <w:sz w:val="18"/>
          <w:szCs w:val="18"/>
        </w:rPr>
        <w:t xml:space="preserve"> </w:t>
      </w:r>
      <w:r w:rsidR="00684AB8" w:rsidRPr="00ED24DD">
        <w:rPr>
          <w:rFonts w:ascii="Tahoma" w:hAnsi="Tahoma" w:cs="Tahoma"/>
          <w:b/>
          <w:sz w:val="18"/>
          <w:szCs w:val="18"/>
        </w:rPr>
        <w:t>Sukcesywna dostawa sprzętu i oprogramowania dla jednostek organizacyjnych Politechniki Częstochowskiej</w:t>
      </w:r>
      <w:r w:rsidRPr="00ED24DD">
        <w:rPr>
          <w:rFonts w:ascii="Tahoma" w:hAnsi="Tahoma" w:cs="Tahoma"/>
          <w:sz w:val="18"/>
          <w:szCs w:val="18"/>
        </w:rPr>
        <w:t>,</w:t>
      </w:r>
      <w:r w:rsidR="00A9791F" w:rsidRPr="00ED24DD">
        <w:rPr>
          <w:rFonts w:ascii="Tahoma" w:hAnsi="Tahoma" w:cs="Tahoma"/>
          <w:sz w:val="18"/>
          <w:szCs w:val="18"/>
        </w:rPr>
        <w:t xml:space="preserve"> </w:t>
      </w:r>
      <w:proofErr w:type="spellStart"/>
      <w:r w:rsidR="00A9791F" w:rsidRPr="00ED24DD">
        <w:rPr>
          <w:rFonts w:ascii="Tahoma" w:hAnsi="Tahoma" w:cs="Tahoma"/>
          <w:sz w:val="18"/>
          <w:szCs w:val="18"/>
        </w:rPr>
        <w:t>spr</w:t>
      </w:r>
      <w:proofErr w:type="spellEnd"/>
      <w:r w:rsidR="00A9791F" w:rsidRPr="00ED24DD">
        <w:rPr>
          <w:rFonts w:ascii="Tahoma" w:hAnsi="Tahoma" w:cs="Tahoma"/>
          <w:sz w:val="18"/>
          <w:szCs w:val="18"/>
        </w:rPr>
        <w:t xml:space="preserve">. nr rej. </w:t>
      </w:r>
      <w:r w:rsidR="00684AB8" w:rsidRPr="00ED24DD">
        <w:rPr>
          <w:rFonts w:ascii="Tahoma" w:hAnsi="Tahoma" w:cs="Tahoma"/>
          <w:b/>
          <w:sz w:val="18"/>
          <w:szCs w:val="18"/>
        </w:rPr>
        <w:t>ZP/DK-33/19</w:t>
      </w:r>
    </w:p>
    <w:p w:rsidR="004F555F" w:rsidRPr="00ED24DD" w:rsidRDefault="004F555F" w:rsidP="00F01DEB">
      <w:pPr>
        <w:pStyle w:val="Tekstpodstawowywcity3"/>
        <w:spacing w:line="240" w:lineRule="auto"/>
        <w:ind w:firstLine="0"/>
        <w:rPr>
          <w:rFonts w:ascii="Tahoma" w:hAnsi="Tahoma" w:cs="Tahoma"/>
          <w:sz w:val="18"/>
          <w:szCs w:val="18"/>
        </w:rPr>
      </w:pPr>
    </w:p>
    <w:p w:rsidR="006D4AB3" w:rsidRPr="00ED24DD" w:rsidRDefault="006D4AB3" w:rsidP="00F01DEB">
      <w:pPr>
        <w:pStyle w:val="Tekstpodstawowywcity3"/>
        <w:spacing w:line="240" w:lineRule="auto"/>
        <w:ind w:firstLine="0"/>
        <w:rPr>
          <w:rFonts w:ascii="Tahoma" w:hAnsi="Tahoma" w:cs="Tahoma"/>
          <w:b/>
          <w:sz w:val="18"/>
          <w:szCs w:val="18"/>
          <w:u w:val="single"/>
        </w:rPr>
      </w:pPr>
      <w:r w:rsidRPr="00ED24DD">
        <w:rPr>
          <w:rFonts w:ascii="Tahoma" w:hAnsi="Tahoma" w:cs="Tahoma"/>
          <w:b/>
          <w:sz w:val="18"/>
          <w:szCs w:val="18"/>
          <w:u w:val="single"/>
        </w:rPr>
        <w:t>Treść wspomnianej prośby jest następująca:</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Pytanie dotyczące Laptopów</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1 – dotyczy laptopów 15” – Typ 1</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laptopów z procesorem: Procesor klasy x86, 4 rdzeniowy, 4 wątkowy, niskonapięciowy, o typowym TDP na poziomie 15W, zaprojektowany do pracy w komputerach przenośnych, taktowany zegarem co najmniej 1,5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4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5500 punktów (wynik zaproponowanego procesora musi znajdować się na stronie http://www.cpubenchmark.net ) – wydruk ze strony należy dołączyć do oferty. Wynik nie starszy niż na dzień ogłoszenia postepowania.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Czy Zamawiający dopuści laptopy z procesorem : Procesor klasy x86, 2 rdzeniowy, 4 wątkowy, niskonapięciowy, o typowym TDP na poziomie 15W, zaprojektowany do pracy w komputerach przenośnych, taktowany zegarem co najmniej 1,5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4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5500 punktów (wynik zaproponowanego procesora musi znajdować się na stronie http://www.cpubenchmark.net ) – wydruk ze strony należy dołączyć do oferty. Wynik nie starszy niż na dzień ogłoszenia postepowania. </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TAK. Zamawiającego interesuje przede wszystkim wydajność komputera. Zamawiający, jako równoważny, dopuści każdy procesor klasy x86 z min. 4 wątkami o wydajności nie gorszej niż wynik min.: 5500 ± 2% punktów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zaproponowanego procesora musi znajdować się na stronie http://www.cpubenchmark.net ).</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2 – dotyczy laptopów 15” – Typ 2</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laptopa z procesorem o parametrach : Procesor klasy x86, 4 rdzeniowy, niskonapięciowy, o typowym TDP na poziomie 15W, zaprojektowany do pracy w komputerach przenośnych, taktowany zegarem co najmniej 1,50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6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8100 punktów (wynik zaproponowanego procesora musi znajdować się na stronie http://www.cpubenchmark.net ) – wydruk ze strony należy dołączyć do oferty. Wynik nie starszy niż na dzień ogłoszenia postepowania.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Czy Zamawiający dopuści laptopy z procesorem Procesor klasy x86, 4 rdzeniowy, niskonapięciowy, o typowym TDP na poziomie 15W, zaprojektowany do pracy w komputerach przenośnych, taktowany zegarem co najmniej 1,50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6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8000 punktów (wynik zaproponowanego procesora musi znajdować się na stronie http://www.cpubenchmark.net ) – wydruk ze strony należy dołączyć do oferty. Wynik nie starszy niż na dzień ogłoszenia postepowania.</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TAK. Zamawiającego interesuje przede wszystkim wydajność komputera. Zamawiający, jako równoważny, dopuści każdy procesor klasy x86 z min. 4 wątkami o wydajności nie gorszej niż wynik min.: 8100 ± 2% punktów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zaproponowanego procesora musi znajdować się na stronie http://www.cpubenchmark.net ).</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3 – dotyczy laptopów 15” – TYP 2</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karty graficznej Zintegrowana w procesorze z możliwością dynamicznego przydzielenia pamięci systemowej, ze sprzętowym wsparciem dla DirectX 12, </w:t>
      </w:r>
      <w:proofErr w:type="spellStart"/>
      <w:r w:rsidRPr="00F01DEB">
        <w:rPr>
          <w:rFonts w:ascii="Tahoma" w:hAnsi="Tahoma" w:cs="Tahoma"/>
          <w:sz w:val="18"/>
          <w:szCs w:val="18"/>
        </w:rPr>
        <w:t>OpenGL</w:t>
      </w:r>
      <w:proofErr w:type="spellEnd"/>
      <w:r w:rsidRPr="00F01DEB">
        <w:rPr>
          <w:rFonts w:ascii="Tahoma" w:hAnsi="Tahoma" w:cs="Tahoma"/>
          <w:sz w:val="18"/>
          <w:szCs w:val="18"/>
        </w:rPr>
        <w:t xml:space="preserve"> 4.4,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900 punktów (wynik zaproponowanej grafiki musi znajdować się na stronie http://www.videocardbenchmark.net) – wydruk ze strony należy dołączyć do oferty. Dodatkowa wbudowana dedykowana karta graficzna wyposażona w min 2GB własnej pamięci GDDR5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2000 punktów (wynik zaproponowanej grafiki musi znajdować się na stronie http://www.videocardbenchmark.net) – wydruk ze strony należy dołączyć do oferty.</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Czy Zamawiający dopuści karty graficzne: Zintegrowana w procesorze z możliwością dynamicznego przydzielenia pamięci systemowej, ze sprzętowym wsparciem dla DirectX 12, </w:t>
      </w:r>
      <w:proofErr w:type="spellStart"/>
      <w:r w:rsidRPr="00F01DEB">
        <w:rPr>
          <w:rFonts w:ascii="Tahoma" w:hAnsi="Tahoma" w:cs="Tahoma"/>
          <w:sz w:val="18"/>
          <w:szCs w:val="18"/>
        </w:rPr>
        <w:t>OpenGL</w:t>
      </w:r>
      <w:proofErr w:type="spellEnd"/>
      <w:r w:rsidRPr="00F01DEB">
        <w:rPr>
          <w:rFonts w:ascii="Tahoma" w:hAnsi="Tahoma" w:cs="Tahoma"/>
          <w:sz w:val="18"/>
          <w:szCs w:val="18"/>
        </w:rPr>
        <w:t xml:space="preserve"> 4.4,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900 punktów (wynik zaproponowanej grafiki musi znajdować się na stronie http://www.videocardbenchmark.net) – wydruk ze strony należy dołączyć do oferty. Dodatkowa wbudowana dedykowana karta graficzna wyposażona w min 2GB własnej pamięci GDDR5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1950 punktów (wynik zaproponowanej grafiki musi znajdować się na stronie http://www.videocardbenchmark.net) – wydruk ze strony należy dołączyć do oferty.</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TAK. Zamawiającego, jako równoważny, dopuści dodatkową, wbudowaną, dedykowana kartę graficzną wyposażoną w min 2GB własnej pamięci GDDR5 i osiągającą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2000 ± 2% punktów (wynik zaproponowanej grafiki musi znajdować się na stronie http://www.videocardbenchmark.net).</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4 – dotyczy laptopów 17” – Typ 1</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laptopów z procesorem: Procesor klasy x86, 4 rdzeniowy, 4 wątkowy, niskonapięciowy, o typowym TDP na poziomie 15W, zaprojektowany do pracy w komputerach przenośnych, taktowany zegarem co najmniej 1,5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4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5500 punktów (wynik zaproponowanego procesora musi znajdować się na stronie http://www.cpubenchmark.net ) – wydruk ze strony należy dołączyć do oferty. Wynik nie starszy niż na dzień ogłoszenia postepowania.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Czy Zamawiający dopuści laptopy z procesorem : Procesor klasy x86, 2 rdzeniowy, 4 wątkowy, niskonapięciowy, o typowym TDP na poziomie 15W, zaprojektowany do pracy w komputerach przenośnych, taktowany zegarem co najmniej 1,5 GHz, z pamięcią </w:t>
      </w:r>
      <w:proofErr w:type="spellStart"/>
      <w:r w:rsidRPr="00F01DEB">
        <w:rPr>
          <w:rFonts w:ascii="Tahoma" w:hAnsi="Tahoma" w:cs="Tahoma"/>
          <w:sz w:val="18"/>
          <w:szCs w:val="18"/>
        </w:rPr>
        <w:t>last</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level</w:t>
      </w:r>
      <w:proofErr w:type="spellEnd"/>
      <w:r w:rsidRPr="00F01DEB">
        <w:rPr>
          <w:rFonts w:ascii="Tahoma" w:hAnsi="Tahoma" w:cs="Tahoma"/>
          <w:sz w:val="18"/>
          <w:szCs w:val="18"/>
        </w:rPr>
        <w:t xml:space="preserve"> cache CPU co najmniej 4 MB lub równoważny 4 rdzeniowy procesor klasy x86 Zaoferowany procesor musi uzyskiwać jednocześnie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min.: 5500 punktów (wynik zaproponowanego procesora musi znajdować się na stronie http://www.cpubenchmark.net ) – wydruk ze strony należy dołączyć do oferty. Wynik nie starszy niż na dzień ogłoszenia postepowania. </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TAK. Zamawiającego interesuje przede wszystkim wydajność komputera. Zamawiający, jako równoważny, dopuści każdy procesor klasy x86 z min. 4 wątkami o wydajności nie gorszej niż wynik min.: 8100 ± 2% punktów w teście </w:t>
      </w:r>
      <w:proofErr w:type="spellStart"/>
      <w:r w:rsidRPr="00F01DEB">
        <w:rPr>
          <w:rFonts w:ascii="Tahoma" w:hAnsi="Tahoma" w:cs="Tahoma"/>
          <w:sz w:val="18"/>
          <w:szCs w:val="18"/>
        </w:rPr>
        <w:t>Passmark</w:t>
      </w:r>
      <w:proofErr w:type="spellEnd"/>
      <w:r w:rsidRPr="00F01DEB">
        <w:rPr>
          <w:rFonts w:ascii="Tahoma" w:hAnsi="Tahoma" w:cs="Tahoma"/>
          <w:sz w:val="18"/>
          <w:szCs w:val="18"/>
        </w:rPr>
        <w:t xml:space="preserv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CPU Mark (wynik zaproponowanego procesora musi znajdować się na stronie http://www.cpubenchmark.net ).</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5 – dotyczy laptopów 17” – TYP 2</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karty graficznej Zintegrowana w procesorze z możliwością dynamicznego przydzielenia pamięci systemowej, ze sprzętowym wsparciem dla DirectX 12, </w:t>
      </w:r>
      <w:proofErr w:type="spellStart"/>
      <w:r w:rsidRPr="00F01DEB">
        <w:rPr>
          <w:rFonts w:ascii="Tahoma" w:hAnsi="Tahoma" w:cs="Tahoma"/>
          <w:sz w:val="18"/>
          <w:szCs w:val="18"/>
        </w:rPr>
        <w:t>OpenGL</w:t>
      </w:r>
      <w:proofErr w:type="spellEnd"/>
      <w:r w:rsidRPr="00F01DEB">
        <w:rPr>
          <w:rFonts w:ascii="Tahoma" w:hAnsi="Tahoma" w:cs="Tahoma"/>
          <w:sz w:val="18"/>
          <w:szCs w:val="18"/>
        </w:rPr>
        <w:t xml:space="preserve"> 4.4,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900 punktów (wynik zaproponowanej grafiki musi znajdować się na stronie http://www.videocardbenchmark.net) – wydruk ze strony należy dołączyć do oferty. Dodatkowa wbudowana dedykowana karta graficzna wyposażona w min 2GB własnej pamięci GDDR5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2000 punktów (wynik zaproponowanej grafiki musi znajdować się na stronie http://www.videocardbenchmark.net) – wydruk ze strony należy dołączyć do oferty.</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Czy Zamawiający dopuści karty graficzne: Zintegrowana w procesorze z możliwością dynamicznego przydzielenia pamięci systemowej, ze sprzętowym wsparciem dla DirectX 12, </w:t>
      </w:r>
      <w:proofErr w:type="spellStart"/>
      <w:r w:rsidRPr="00F01DEB">
        <w:rPr>
          <w:rFonts w:ascii="Tahoma" w:hAnsi="Tahoma" w:cs="Tahoma"/>
          <w:sz w:val="18"/>
          <w:szCs w:val="18"/>
        </w:rPr>
        <w:t>OpenGL</w:t>
      </w:r>
      <w:proofErr w:type="spellEnd"/>
      <w:r w:rsidRPr="00F01DEB">
        <w:rPr>
          <w:rFonts w:ascii="Tahoma" w:hAnsi="Tahoma" w:cs="Tahoma"/>
          <w:sz w:val="18"/>
          <w:szCs w:val="18"/>
        </w:rPr>
        <w:t xml:space="preserve"> 4.4,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900 punktów (wynik zaproponowanej grafiki musi znajdować się na stronie http://www.videocardbenchmark.net) – wydruk ze strony należy dołączyć do oferty. Dodatkowa wbudowana dedykowana karta graficzna wyposażona w min 2GB własnej pamięci GDDR5 osiągająca w teście </w:t>
      </w:r>
      <w:proofErr w:type="spellStart"/>
      <w:r w:rsidRPr="00F01DEB">
        <w:rPr>
          <w:rFonts w:ascii="Tahoma" w:hAnsi="Tahoma" w:cs="Tahoma"/>
          <w:sz w:val="18"/>
          <w:szCs w:val="18"/>
        </w:rPr>
        <w:t>Average</w:t>
      </w:r>
      <w:proofErr w:type="spellEnd"/>
      <w:r w:rsidRPr="00F01DEB">
        <w:rPr>
          <w:rFonts w:ascii="Tahoma" w:hAnsi="Tahoma" w:cs="Tahoma"/>
          <w:sz w:val="18"/>
          <w:szCs w:val="18"/>
        </w:rPr>
        <w:t xml:space="preserve"> G3D Mark wynik na poziomie min.: 1150 punktów (wynik zaproponowanej grafiki musi znajdować się na stronie http://www.videocardbenchmark.net) – wydruk ze strony należy dołączyć do oferty.</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Pytanie nr 6 Dotyczy komputerów stacjonarnych typ 1 i typ 2</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lastRenderedPageBreak/>
        <w:t>Zamawiający wymaga poniższych parametrów : W punkcie 8 - Zasilacz o mocy max 180W z aktywnym PFC i sprawności min 87% dla 100% użycia (EPEAT GOLD) W punkcie 13 - Komputer musi spełniać wymogi normy EPEAT 2019 na poziomie min SILVER dla Polski</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Czy Zamawiający dopuści komputery z zasilaczem: Zasilacz o mocy max 180W z aktywnym PFC i sprawności min 87% dla 100% użycia Zachowując wymogi EPEAT dla komputera Komputer musi spełniać wymogi normy EPEAT 2019 na poziomie min SILVER dla Polski</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 Zamawiającemu najbardziej zależy na sprawności całego komputera.</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7 Pytanie dotyczące </w:t>
      </w:r>
      <w:proofErr w:type="spellStart"/>
      <w:r w:rsidRPr="00F01DEB">
        <w:rPr>
          <w:rFonts w:ascii="Tahoma" w:hAnsi="Tahoma" w:cs="Tahoma"/>
          <w:b/>
          <w:sz w:val="18"/>
          <w:szCs w:val="18"/>
        </w:rPr>
        <w:t>All</w:t>
      </w:r>
      <w:proofErr w:type="spellEnd"/>
      <w:r w:rsidRPr="00F01DEB">
        <w:rPr>
          <w:rFonts w:ascii="Tahoma" w:hAnsi="Tahoma" w:cs="Tahoma"/>
          <w:b/>
          <w:sz w:val="18"/>
          <w:szCs w:val="18"/>
        </w:rPr>
        <w:t xml:space="preserve">-In-One 23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w punkcie 3 podstawa musi umożliwiać regulację kąta nachylenia w zakresie min. 0° do przodu oraz min. 25° do tyłu oraz w punkcie 11 - min. 1 x HDMI (możliwość realizacji poprzez dostarczenie adaptera DP -&gt; DP),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Czy Zamawiający dopuści komputer gdzie podstawa musi umożliwiać regulację kąta nachylenia w zakresie min. -5° do przodu oraz min. 20° do tyłu Oraz z - min. 1 x HDMI (możliwość realizacji poprzez dostarczenie adaptera DP -&gt; HDMI),</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1 Zamawiający w pozycji 1.3.1 Komputera </w:t>
      </w:r>
      <w:proofErr w:type="spellStart"/>
      <w:r w:rsidRPr="00F01DEB">
        <w:rPr>
          <w:rFonts w:ascii="Tahoma" w:hAnsi="Tahoma" w:cs="Tahoma"/>
          <w:b/>
          <w:sz w:val="18"/>
          <w:szCs w:val="18"/>
        </w:rPr>
        <w:t>All</w:t>
      </w:r>
      <w:proofErr w:type="spellEnd"/>
      <w:r w:rsidRPr="00F01DEB">
        <w:rPr>
          <w:rFonts w:ascii="Tahoma" w:hAnsi="Tahoma" w:cs="Tahoma"/>
          <w:b/>
          <w:sz w:val="18"/>
          <w:szCs w:val="18"/>
        </w:rPr>
        <w:t>-in-one</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W opisie w punkcie 3 tego komputera wymaga podstawa musi umożliwiać regulację kąta nachylenia w zakresie min. 0° do przodu oraz min. 25° do tyłu Czy Zamawiający dopuści podstawa musi umożliwiać regulację kąta nachylenia w zakresie min. -5° do przodu oraz min. 20° do tyłu</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2 Zamawiający w pozycji 1.4.3 i 1.4.4 Notebook 17” – Typ 1 i Typ 2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W opisie w punkcie 16 tego komputera wymaga Wbudowane porty i złącza: 1 x HDMI 1.4b, 2 szt. USB 3.1, 1 szt. USB 2.0, 1 </w:t>
      </w:r>
      <w:proofErr w:type="spellStart"/>
      <w:r w:rsidRPr="00F01DEB">
        <w:rPr>
          <w:rFonts w:ascii="Tahoma" w:hAnsi="Tahoma" w:cs="Tahoma"/>
          <w:sz w:val="18"/>
          <w:szCs w:val="18"/>
        </w:rPr>
        <w:t>szt</w:t>
      </w:r>
      <w:proofErr w:type="spellEnd"/>
      <w:r w:rsidRPr="00F01DEB">
        <w:rPr>
          <w:rFonts w:ascii="Tahoma" w:hAnsi="Tahoma" w:cs="Tahoma"/>
          <w:sz w:val="18"/>
          <w:szCs w:val="18"/>
        </w:rPr>
        <w:t xml:space="preserve"> USB 3.1 Typ-C, Czy Zamawiający dopuści laptopy z poniższymi portami: Wbudowane porty i złącza: 1 x HDMI 1.4b, 2 szt. USB 3.1, 1 szt. USB 2.0, 1</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3 Zamawiający w pozycji 1.4.3 i 1.4.4 Notebook 17” – Typ 1 i Typ 2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W opisie w punkcie 10 tego komputera wymaga Certyfikat EPEAT na poziomie GOLD dla Polski Wymagany wpis dotyczący oferowanej stacji dostępowej w internetowym katalogu http://www.epeat.net - dopuszcza się wydruk ze strony internetowej Oraz w punkcie 16 Czytnik linii papilarnych Czy Zamawiający dopuści laptopy bez czytniki Linii papilarnych Oraz z Laptopy Posiadające EPEAT na poziomie Silver dla Polski – potwierdzone oświadczeniem producenta ? Gdyż na tą chwilę modele laptopów pasujących pod specyfikację zostały wycofane ze </w:t>
      </w:r>
      <w:proofErr w:type="spellStart"/>
      <w:r w:rsidRPr="00F01DEB">
        <w:rPr>
          <w:rFonts w:ascii="Tahoma" w:hAnsi="Tahoma" w:cs="Tahoma"/>
          <w:sz w:val="18"/>
          <w:szCs w:val="18"/>
        </w:rPr>
        <w:t>sprzeadży</w:t>
      </w:r>
      <w:proofErr w:type="spellEnd"/>
      <w:r w:rsidRPr="00F01DEB">
        <w:rPr>
          <w:rFonts w:ascii="Tahoma" w:hAnsi="Tahoma" w:cs="Tahoma"/>
          <w:sz w:val="18"/>
          <w:szCs w:val="18"/>
        </w:rPr>
        <w:t xml:space="preserve"> i może być problem w realizowaniu </w:t>
      </w:r>
      <w:proofErr w:type="spellStart"/>
      <w:r w:rsidRPr="00F01DEB">
        <w:rPr>
          <w:rFonts w:ascii="Tahoma" w:hAnsi="Tahoma" w:cs="Tahoma"/>
          <w:sz w:val="18"/>
          <w:szCs w:val="18"/>
        </w:rPr>
        <w:t>sukcesynej</w:t>
      </w:r>
      <w:proofErr w:type="spellEnd"/>
      <w:r w:rsidRPr="00F01DEB">
        <w:rPr>
          <w:rFonts w:ascii="Tahoma" w:hAnsi="Tahoma" w:cs="Tahoma"/>
          <w:sz w:val="18"/>
          <w:szCs w:val="18"/>
        </w:rPr>
        <w:t xml:space="preserve"> dostawy w terminach późniejszych</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TAK</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4 Pytanie dotyczy pozycji 1.2.1 oraz 1.2.2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 xml:space="preserve">Zamawiający wymaga monitorów które mają współczynnik </w:t>
      </w:r>
      <w:proofErr w:type="spellStart"/>
      <w:r w:rsidRPr="00F01DEB">
        <w:rPr>
          <w:rFonts w:ascii="Tahoma" w:hAnsi="Tahoma" w:cs="Tahoma"/>
          <w:sz w:val="18"/>
          <w:szCs w:val="18"/>
        </w:rPr>
        <w:t>kontastu</w:t>
      </w:r>
      <w:proofErr w:type="spellEnd"/>
      <w:r w:rsidRPr="00F01DEB">
        <w:rPr>
          <w:rFonts w:ascii="Tahoma" w:hAnsi="Tahoma" w:cs="Tahoma"/>
          <w:sz w:val="18"/>
          <w:szCs w:val="18"/>
        </w:rPr>
        <w:t xml:space="preserve"> min 100 000 000 : 1 Czy Zamawiający dopuści monitory o współczynniku </w:t>
      </w:r>
      <w:proofErr w:type="spellStart"/>
      <w:r w:rsidRPr="00F01DEB">
        <w:rPr>
          <w:rFonts w:ascii="Tahoma" w:hAnsi="Tahoma" w:cs="Tahoma"/>
          <w:sz w:val="18"/>
          <w:szCs w:val="18"/>
        </w:rPr>
        <w:t>kontasty</w:t>
      </w:r>
      <w:proofErr w:type="spellEnd"/>
      <w:r w:rsidRPr="00F01DEB">
        <w:rPr>
          <w:rFonts w:ascii="Tahoma" w:hAnsi="Tahoma" w:cs="Tahoma"/>
          <w:sz w:val="18"/>
          <w:szCs w:val="18"/>
        </w:rPr>
        <w:t xml:space="preserve"> min 80 000 000 :1</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NIE</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5 Pytanie dotyczy pozycji 1.3.1. – Komputera </w:t>
      </w:r>
      <w:proofErr w:type="spellStart"/>
      <w:r w:rsidRPr="00F01DEB">
        <w:rPr>
          <w:rFonts w:ascii="Tahoma" w:hAnsi="Tahoma" w:cs="Tahoma"/>
          <w:b/>
          <w:sz w:val="18"/>
          <w:szCs w:val="18"/>
        </w:rPr>
        <w:t>All</w:t>
      </w:r>
      <w:proofErr w:type="spellEnd"/>
      <w:r w:rsidRPr="00F01DEB">
        <w:rPr>
          <w:rFonts w:ascii="Tahoma" w:hAnsi="Tahoma" w:cs="Tahoma"/>
          <w:b/>
          <w:sz w:val="18"/>
          <w:szCs w:val="18"/>
        </w:rPr>
        <w:t xml:space="preserve">-in-One </w:t>
      </w:r>
    </w:p>
    <w:p w:rsidR="00F01DEB" w:rsidRPr="00F01DEB" w:rsidRDefault="00F01DEB" w:rsidP="00F01DEB">
      <w:pPr>
        <w:pStyle w:val="Tekstpodstawowywcity3"/>
        <w:spacing w:line="240" w:lineRule="auto"/>
        <w:rPr>
          <w:rFonts w:ascii="Tahoma" w:hAnsi="Tahoma" w:cs="Tahoma"/>
          <w:sz w:val="18"/>
          <w:szCs w:val="18"/>
        </w:rPr>
      </w:pPr>
      <w:proofErr w:type="spellStart"/>
      <w:r w:rsidRPr="00F01DEB">
        <w:rPr>
          <w:rFonts w:ascii="Tahoma" w:hAnsi="Tahoma" w:cs="Tahoma"/>
          <w:sz w:val="18"/>
          <w:szCs w:val="18"/>
        </w:rPr>
        <w:t>Zamawiajacy</w:t>
      </w:r>
      <w:proofErr w:type="spellEnd"/>
      <w:r w:rsidRPr="00F01DEB">
        <w:rPr>
          <w:rFonts w:ascii="Tahoma" w:hAnsi="Tahoma" w:cs="Tahoma"/>
          <w:sz w:val="18"/>
          <w:szCs w:val="18"/>
        </w:rPr>
        <w:t xml:space="preserve"> w puncie 11 Porty/ złącza wymaga: - min. 1 x DP umożliwiający podłączenie dodatkowego zewnętrznego wyświetlacza, - min. 1 x HDMI (możliwość realizacji poprzez dostarczenie adaptera DP -&gt; DP), Czy Zamawiający dopuści komputer z 2x HDMI ?</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NIE</w:t>
      </w: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sz w:val="18"/>
          <w:szCs w:val="18"/>
        </w:rPr>
      </w:pP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Pytanie nr 6 Dotyczy komputerów biurowych typ 1 i typ 2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Zamawiający w punkcie 8 wymaga : Zasilacz o mocy max 180W z aktywnym PFC i sprawności min 87% Czy Zamawiający dopuści komputery z zasilaczem max 200W ?</w:t>
      </w:r>
    </w:p>
    <w:p w:rsidR="00F01DEB" w:rsidRPr="00F01DEB" w:rsidRDefault="00F01DEB" w:rsidP="00F01DEB">
      <w:pPr>
        <w:pStyle w:val="Tekstpodstawowywcity3"/>
        <w:spacing w:line="240" w:lineRule="auto"/>
        <w:rPr>
          <w:rFonts w:ascii="Tahoma" w:hAnsi="Tahoma" w:cs="Tahoma"/>
          <w:b/>
          <w:sz w:val="18"/>
          <w:szCs w:val="18"/>
        </w:rPr>
      </w:pPr>
      <w:r w:rsidRPr="00F01DEB">
        <w:rPr>
          <w:rFonts w:ascii="Tahoma" w:hAnsi="Tahoma" w:cs="Tahoma"/>
          <w:b/>
          <w:sz w:val="18"/>
          <w:szCs w:val="18"/>
        </w:rPr>
        <w:t xml:space="preserve">Stanowisko Zamawiającego: </w:t>
      </w:r>
    </w:p>
    <w:p w:rsidR="00F01DEB" w:rsidRPr="00F01DEB" w:rsidRDefault="00F01DEB" w:rsidP="00F01DEB">
      <w:pPr>
        <w:pStyle w:val="Tekstpodstawowywcity3"/>
        <w:spacing w:line="240" w:lineRule="auto"/>
        <w:rPr>
          <w:rFonts w:ascii="Tahoma" w:hAnsi="Tahoma" w:cs="Tahoma"/>
          <w:sz w:val="18"/>
          <w:szCs w:val="18"/>
        </w:rPr>
      </w:pPr>
      <w:r w:rsidRPr="00F01DEB">
        <w:rPr>
          <w:rFonts w:ascii="Tahoma" w:hAnsi="Tahoma" w:cs="Tahoma"/>
          <w:sz w:val="18"/>
          <w:szCs w:val="18"/>
        </w:rPr>
        <w:t>NIE</w:t>
      </w:r>
    </w:p>
    <w:p w:rsidR="004F555F" w:rsidRPr="00ED24DD" w:rsidRDefault="004F555F" w:rsidP="00F01DEB">
      <w:pPr>
        <w:pStyle w:val="Tekstpodstawowywcity3"/>
        <w:spacing w:line="240" w:lineRule="auto"/>
        <w:ind w:firstLine="0"/>
        <w:rPr>
          <w:rFonts w:ascii="Tahoma" w:hAnsi="Tahoma" w:cs="Tahoma"/>
          <w:b/>
          <w:sz w:val="18"/>
          <w:szCs w:val="18"/>
          <w:u w:val="single"/>
        </w:rPr>
      </w:pPr>
    </w:p>
    <w:p w:rsidR="004F555F" w:rsidRPr="00ED24DD" w:rsidRDefault="004F555F" w:rsidP="00F01DEB">
      <w:pPr>
        <w:pStyle w:val="Tekstpodstawowywcity3"/>
        <w:spacing w:line="240" w:lineRule="auto"/>
        <w:ind w:firstLine="0"/>
        <w:rPr>
          <w:rFonts w:ascii="Tahoma" w:hAnsi="Tahoma" w:cs="Tahoma"/>
          <w:b/>
          <w:sz w:val="18"/>
          <w:szCs w:val="18"/>
          <w:u w:val="single"/>
        </w:rPr>
      </w:pPr>
    </w:p>
    <w:p w:rsidR="004F555F" w:rsidRPr="00ED24DD" w:rsidRDefault="004F555F" w:rsidP="00F01DEB">
      <w:pPr>
        <w:pStyle w:val="Tekstpodstawowywcity3"/>
        <w:spacing w:line="240" w:lineRule="auto"/>
        <w:ind w:firstLine="360"/>
        <w:rPr>
          <w:rFonts w:ascii="Tahoma" w:hAnsi="Tahoma" w:cs="Tahoma"/>
          <w:sz w:val="18"/>
          <w:szCs w:val="18"/>
        </w:rPr>
      </w:pPr>
      <w:r w:rsidRPr="00ED24DD">
        <w:rPr>
          <w:rFonts w:ascii="Tahoma" w:hAnsi="Tahoma" w:cs="Tahoma"/>
          <w:sz w:val="18"/>
          <w:szCs w:val="18"/>
        </w:rPr>
        <w:lastRenderedPageBreak/>
        <w:t>Ponadto w związku ze zmianami w ustawie o podatku od towarów i usług oddziałującymi na zamówienia publiczne, Zamawiający informuje, iż dokonuje następujących zmian w Specyfikacji Istotnych warunków zamówienia:</w:t>
      </w:r>
    </w:p>
    <w:p w:rsidR="00ED24DD" w:rsidRPr="00ED24DD" w:rsidRDefault="00ED24DD" w:rsidP="00F01DEB">
      <w:pPr>
        <w:numPr>
          <w:ilvl w:val="0"/>
          <w:numId w:val="11"/>
        </w:numPr>
        <w:tabs>
          <w:tab w:val="num" w:pos="709"/>
        </w:tabs>
        <w:jc w:val="both"/>
        <w:rPr>
          <w:rFonts w:ascii="Tahoma" w:hAnsi="Tahoma" w:cs="Tahoma"/>
          <w:sz w:val="16"/>
          <w:szCs w:val="16"/>
        </w:rPr>
      </w:pPr>
      <w:r w:rsidRPr="00ED24DD">
        <w:rPr>
          <w:rFonts w:ascii="Tahoma" w:hAnsi="Tahoma" w:cs="Tahoma"/>
          <w:sz w:val="18"/>
          <w:szCs w:val="18"/>
        </w:rPr>
        <w:t>Ze wzoru</w:t>
      </w:r>
      <w:r w:rsidR="004F555F" w:rsidRPr="00ED24DD">
        <w:rPr>
          <w:rFonts w:ascii="Tahoma" w:hAnsi="Tahoma" w:cs="Tahoma"/>
          <w:sz w:val="18"/>
          <w:szCs w:val="18"/>
        </w:rPr>
        <w:t xml:space="preserve"> umowy</w:t>
      </w:r>
      <w:r w:rsidR="00B4647E" w:rsidRPr="00B4647E">
        <w:rPr>
          <w:rFonts w:ascii="Tahoma" w:hAnsi="Tahoma" w:cs="Tahoma"/>
          <w:sz w:val="18"/>
          <w:szCs w:val="18"/>
        </w:rPr>
        <w:t xml:space="preserve"> na dostawy</w:t>
      </w:r>
      <w:r w:rsidR="004F555F" w:rsidRPr="00ED24DD">
        <w:rPr>
          <w:rFonts w:ascii="Tahoma" w:hAnsi="Tahoma" w:cs="Tahoma"/>
          <w:sz w:val="18"/>
          <w:szCs w:val="18"/>
        </w:rPr>
        <w:t xml:space="preserve"> usuwa zapis</w:t>
      </w:r>
      <w:r w:rsidRPr="00ED24DD">
        <w:rPr>
          <w:rFonts w:ascii="Tahoma" w:hAnsi="Tahoma" w:cs="Tahoma"/>
          <w:sz w:val="18"/>
          <w:szCs w:val="18"/>
        </w:rPr>
        <w:t xml:space="preserve"> § 4 pkt. 4 tj. „</w:t>
      </w:r>
      <w:r w:rsidRPr="00ED24DD">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ED24DD" w:rsidRPr="00ED24DD" w:rsidRDefault="00ED24DD" w:rsidP="00F01DEB">
      <w:pPr>
        <w:tabs>
          <w:tab w:val="num" w:pos="709"/>
        </w:tabs>
        <w:ind w:left="360"/>
        <w:jc w:val="both"/>
        <w:rPr>
          <w:rFonts w:ascii="Tahoma" w:hAnsi="Tahoma" w:cs="Tahoma"/>
          <w:sz w:val="16"/>
          <w:szCs w:val="16"/>
        </w:rPr>
      </w:pPr>
    </w:p>
    <w:p w:rsidR="00ED24DD" w:rsidRPr="00ED24DD" w:rsidRDefault="00ED24DD" w:rsidP="00F01DEB">
      <w:pPr>
        <w:numPr>
          <w:ilvl w:val="0"/>
          <w:numId w:val="11"/>
        </w:numPr>
        <w:tabs>
          <w:tab w:val="num" w:pos="709"/>
        </w:tabs>
        <w:jc w:val="both"/>
        <w:rPr>
          <w:rFonts w:ascii="Tahoma" w:hAnsi="Tahoma" w:cs="Tahoma"/>
          <w:sz w:val="16"/>
          <w:szCs w:val="16"/>
        </w:rPr>
      </w:pPr>
      <w:r w:rsidRPr="00ED24DD">
        <w:rPr>
          <w:rFonts w:ascii="Tahoma" w:hAnsi="Tahoma" w:cs="Tahoma"/>
          <w:sz w:val="16"/>
          <w:szCs w:val="16"/>
        </w:rPr>
        <w:t>Ze wzoru formularza oferty</w:t>
      </w:r>
      <w:r w:rsidR="00B4647E">
        <w:rPr>
          <w:rFonts w:ascii="Tahoma" w:hAnsi="Tahoma" w:cs="Tahoma"/>
          <w:sz w:val="16"/>
          <w:szCs w:val="16"/>
        </w:rPr>
        <w:t xml:space="preserve"> </w:t>
      </w:r>
      <w:r w:rsidR="00B4647E" w:rsidRPr="00B4647E">
        <w:rPr>
          <w:rFonts w:ascii="Tahoma" w:hAnsi="Tahoma" w:cs="Tahoma"/>
          <w:sz w:val="16"/>
          <w:szCs w:val="16"/>
        </w:rPr>
        <w:t>i formularz</w:t>
      </w:r>
      <w:r w:rsidR="00B4647E">
        <w:rPr>
          <w:rFonts w:ascii="Tahoma" w:hAnsi="Tahoma" w:cs="Tahoma"/>
          <w:sz w:val="16"/>
          <w:szCs w:val="16"/>
        </w:rPr>
        <w:t>a</w:t>
      </w:r>
      <w:r w:rsidR="00B4647E" w:rsidRPr="00B4647E">
        <w:rPr>
          <w:rFonts w:ascii="Tahoma" w:hAnsi="Tahoma" w:cs="Tahoma"/>
          <w:sz w:val="16"/>
          <w:szCs w:val="16"/>
        </w:rPr>
        <w:t xml:space="preserve"> cenow</w:t>
      </w:r>
      <w:r w:rsidR="00B4647E">
        <w:rPr>
          <w:rFonts w:ascii="Tahoma" w:hAnsi="Tahoma" w:cs="Tahoma"/>
          <w:sz w:val="16"/>
          <w:szCs w:val="16"/>
        </w:rPr>
        <w:t>ego</w:t>
      </w:r>
      <w:r w:rsidRPr="00ED24DD">
        <w:rPr>
          <w:rFonts w:ascii="Tahoma" w:hAnsi="Tahoma" w:cs="Tahoma"/>
          <w:sz w:val="16"/>
          <w:szCs w:val="16"/>
        </w:rPr>
        <w:t xml:space="preserve"> usuwa zapis:</w:t>
      </w:r>
    </w:p>
    <w:p w:rsidR="00ED24DD" w:rsidRPr="00ED24DD" w:rsidRDefault="00ED24DD" w:rsidP="00F01DEB">
      <w:pPr>
        <w:pStyle w:val="Akapitzlist"/>
        <w:rPr>
          <w:rFonts w:ascii="Tahoma" w:hAnsi="Tahoma" w:cs="Tahoma"/>
          <w:sz w:val="16"/>
          <w:szCs w:val="16"/>
        </w:rPr>
      </w:pPr>
    </w:p>
    <w:p w:rsidR="00ED24DD" w:rsidRPr="00ED24DD" w:rsidRDefault="00ED24DD" w:rsidP="00F01DEB">
      <w:pPr>
        <w:ind w:left="360"/>
        <w:jc w:val="both"/>
        <w:rPr>
          <w:rFonts w:ascii="Tahoma" w:hAnsi="Tahoma" w:cs="Tahoma"/>
          <w:sz w:val="16"/>
          <w:szCs w:val="16"/>
        </w:rPr>
      </w:pPr>
      <w:r w:rsidRPr="00ED24DD">
        <w:rPr>
          <w:rFonts w:ascii="Tahoma" w:hAnsi="Tahoma" w:cs="Tahoma"/>
          <w:sz w:val="16"/>
          <w:szCs w:val="16"/>
        </w:rPr>
        <w:t xml:space="preserve"> „*dotyczy pozycji od 9 do 12 powyższej tabeli – w przypadku, gdy zaoferowana cena netto pomnożona przez liczbę (szt.) i po zsumowaniu przekroczy kwotę 20.000 zł netto, należy zastosować „0” stawkę VAT.</w:t>
      </w:r>
    </w:p>
    <w:p w:rsidR="00ED24DD" w:rsidRPr="00ED24DD" w:rsidRDefault="00ED24DD" w:rsidP="00F01DEB">
      <w:pPr>
        <w:tabs>
          <w:tab w:val="left" w:pos="426"/>
        </w:tabs>
        <w:ind w:left="284"/>
        <w:jc w:val="both"/>
        <w:rPr>
          <w:rFonts w:ascii="Tahoma" w:hAnsi="Tahoma" w:cs="Tahoma"/>
          <w:sz w:val="16"/>
          <w:szCs w:val="16"/>
        </w:rPr>
      </w:pPr>
      <w:r w:rsidRPr="00ED24DD">
        <w:rPr>
          <w:rFonts w:ascii="Tahoma" w:hAnsi="Tahoma" w:cs="Tahoma"/>
          <w:sz w:val="16"/>
          <w:szCs w:val="16"/>
        </w:rPr>
        <w:t>Wybór naszej oferty:</w:t>
      </w:r>
    </w:p>
    <w:p w:rsidR="00ED24DD" w:rsidRPr="00ED24DD" w:rsidRDefault="00ED24DD" w:rsidP="00F01DEB">
      <w:pPr>
        <w:ind w:left="284" w:hanging="142"/>
        <w:jc w:val="both"/>
        <w:rPr>
          <w:rFonts w:ascii="Tahoma" w:hAnsi="Tahoma" w:cs="Tahoma"/>
          <w:sz w:val="16"/>
          <w:szCs w:val="16"/>
        </w:rPr>
      </w:pPr>
      <w:r w:rsidRPr="00ED24DD">
        <w:rPr>
          <w:rFonts w:ascii="Tahoma" w:hAnsi="Tahoma" w:cs="Tahoma"/>
          <w:sz w:val="16"/>
          <w:szCs w:val="16"/>
        </w:rPr>
        <w:t xml:space="preserve">a) nie będzie prowadził do powstania u zamawiającego obowiązku podatkowego zgodnie z przepisami o podatku od towarów i usług** </w:t>
      </w:r>
    </w:p>
    <w:p w:rsidR="00ED24DD" w:rsidRPr="00ED24DD" w:rsidRDefault="00ED24DD" w:rsidP="00F01DEB">
      <w:pPr>
        <w:ind w:left="284" w:hanging="142"/>
        <w:jc w:val="both"/>
        <w:rPr>
          <w:rFonts w:ascii="Tahoma" w:hAnsi="Tahoma" w:cs="Tahoma"/>
          <w:sz w:val="16"/>
          <w:szCs w:val="16"/>
        </w:rPr>
      </w:pPr>
      <w:r w:rsidRPr="00ED24DD">
        <w:rPr>
          <w:rFonts w:ascii="Tahoma" w:hAnsi="Tahoma" w:cs="Tahoma"/>
          <w:sz w:val="16"/>
          <w:szCs w:val="16"/>
        </w:rPr>
        <w:t xml:space="preserve">b) będzie prowadził do powstania u zamawiającego obowiązku podatkowego zgodnie z przepisami o podatku od towarów i usług. </w:t>
      </w:r>
    </w:p>
    <w:p w:rsidR="00ED24DD" w:rsidRPr="00ED24DD" w:rsidRDefault="00ED24DD" w:rsidP="00F01DEB">
      <w:pPr>
        <w:jc w:val="both"/>
        <w:rPr>
          <w:rFonts w:ascii="Tahoma" w:hAnsi="Tahoma" w:cs="Tahoma"/>
          <w:sz w:val="16"/>
          <w:szCs w:val="16"/>
        </w:rPr>
      </w:pPr>
      <w:r w:rsidRPr="00ED24DD">
        <w:rPr>
          <w:rFonts w:ascii="Tahoma" w:hAnsi="Tahoma" w:cs="Tahoma"/>
          <w:sz w:val="16"/>
          <w:szCs w:val="16"/>
        </w:rPr>
        <w:t>W związku z powyższym wskazujemy nazwę (rodzaj) towaru, którego dostawa będzie prowadzić do powstania obowiązku podatkowego: ………………………………………………………………. oraz podajemy jego wartość bez kwoty podatku VAT: ……………………………………………………………...**</w:t>
      </w:r>
    </w:p>
    <w:p w:rsidR="00ED24DD" w:rsidRPr="00ED24DD" w:rsidRDefault="00ED24DD" w:rsidP="00F01DEB">
      <w:pPr>
        <w:ind w:left="76"/>
        <w:jc w:val="both"/>
        <w:rPr>
          <w:rFonts w:ascii="Tahoma" w:hAnsi="Tahoma" w:cs="Tahoma"/>
          <w:i/>
          <w:sz w:val="12"/>
          <w:szCs w:val="12"/>
        </w:rPr>
      </w:pPr>
      <w:r w:rsidRPr="00ED24DD">
        <w:rPr>
          <w:rFonts w:ascii="Tahoma" w:hAnsi="Tahoma" w:cs="Tahoma"/>
          <w:i/>
          <w:sz w:val="12"/>
          <w:szCs w:val="12"/>
        </w:rPr>
        <w:t>„**” niepotrzebne skreślić</w:t>
      </w:r>
    </w:p>
    <w:p w:rsidR="00ED24DD" w:rsidRPr="00ED24DD" w:rsidRDefault="00ED24DD" w:rsidP="00F01DEB">
      <w:pPr>
        <w:ind w:left="74"/>
        <w:jc w:val="both"/>
        <w:rPr>
          <w:rFonts w:ascii="Tahoma" w:hAnsi="Tahoma" w:cs="Tahoma"/>
          <w:i/>
          <w:sz w:val="12"/>
          <w:szCs w:val="12"/>
        </w:rPr>
      </w:pPr>
      <w:r w:rsidRPr="00ED24DD">
        <w:rPr>
          <w:rFonts w:ascii="Tahoma" w:hAnsi="Tahoma" w:cs="Tahoma"/>
          <w:i/>
          <w:sz w:val="12"/>
          <w:szCs w:val="12"/>
        </w:rPr>
        <w:t>UWAGA: powstanie u Zamawiającego obowiązku podatkowego ma zastosowanie w przypadku wewnątrzwspólnotowego nabycia towarów, mechanizmu odwróconego obciążenia i importu usług lub importu towarów.””</w:t>
      </w:r>
    </w:p>
    <w:p w:rsidR="00ED24DD" w:rsidRPr="00ED24DD" w:rsidRDefault="00ED24DD" w:rsidP="00F01DEB">
      <w:pPr>
        <w:tabs>
          <w:tab w:val="num" w:pos="709"/>
        </w:tabs>
        <w:jc w:val="both"/>
        <w:rPr>
          <w:rFonts w:ascii="Tahoma" w:hAnsi="Tahoma" w:cs="Tahoma"/>
          <w:sz w:val="16"/>
          <w:szCs w:val="16"/>
        </w:rPr>
      </w:pPr>
    </w:p>
    <w:p w:rsidR="004F555F" w:rsidRDefault="004F555F" w:rsidP="00F01DEB">
      <w:pPr>
        <w:pStyle w:val="Tekstpodstawowy"/>
        <w:jc w:val="both"/>
        <w:rPr>
          <w:rFonts w:ascii="Tahoma" w:hAnsi="Tahoma" w:cs="Tahoma"/>
          <w:sz w:val="18"/>
          <w:szCs w:val="18"/>
        </w:rPr>
      </w:pPr>
    </w:p>
    <w:p w:rsidR="000B4563" w:rsidRPr="006A75A3" w:rsidRDefault="000B4563" w:rsidP="000B4563">
      <w:pPr>
        <w:rPr>
          <w:rFonts w:ascii="Tahoma" w:hAnsi="Tahoma" w:cs="Tahoma"/>
          <w:sz w:val="16"/>
          <w:szCs w:val="16"/>
        </w:rPr>
      </w:pPr>
      <w:r w:rsidRPr="006A75A3">
        <w:rPr>
          <w:rFonts w:ascii="Tahoma" w:hAnsi="Tahoma" w:cs="Tahoma"/>
          <w:sz w:val="16"/>
          <w:szCs w:val="16"/>
        </w:rPr>
        <w:t xml:space="preserve">Jednocześnie Zamawiający informuje o następujących zmianach: </w:t>
      </w:r>
    </w:p>
    <w:p w:rsidR="000B4563" w:rsidRPr="006A75A3" w:rsidRDefault="000B4563" w:rsidP="000B4563">
      <w:pPr>
        <w:rPr>
          <w:rFonts w:ascii="Tahoma" w:hAnsi="Tahoma" w:cs="Tahoma"/>
          <w:sz w:val="16"/>
          <w:szCs w:val="16"/>
        </w:rPr>
      </w:pPr>
      <w:r w:rsidRPr="006A75A3">
        <w:rPr>
          <w:rFonts w:ascii="Tahoma" w:hAnsi="Tahoma" w:cs="Tahoma"/>
          <w:sz w:val="16"/>
          <w:szCs w:val="16"/>
        </w:rPr>
        <w:t>Termi</w:t>
      </w:r>
      <w:r>
        <w:rPr>
          <w:rFonts w:ascii="Tahoma" w:hAnsi="Tahoma" w:cs="Tahoma"/>
          <w:sz w:val="16"/>
          <w:szCs w:val="16"/>
        </w:rPr>
        <w:t>n składania ofert upływa dnia: 15.11</w:t>
      </w:r>
      <w:r w:rsidR="00AD5E97">
        <w:rPr>
          <w:rFonts w:ascii="Tahoma" w:hAnsi="Tahoma" w:cs="Tahoma"/>
          <w:sz w:val="16"/>
          <w:szCs w:val="16"/>
        </w:rPr>
        <w:t>.2019 r. o godz. 09</w:t>
      </w:r>
      <w:r w:rsidRPr="006A75A3">
        <w:rPr>
          <w:rFonts w:ascii="Tahoma" w:hAnsi="Tahoma" w:cs="Tahoma"/>
          <w:sz w:val="16"/>
          <w:szCs w:val="16"/>
        </w:rPr>
        <w:t>:</w:t>
      </w:r>
      <w:r w:rsidR="00AD5E97">
        <w:rPr>
          <w:rFonts w:ascii="Tahoma" w:hAnsi="Tahoma" w:cs="Tahoma"/>
          <w:sz w:val="16"/>
          <w:szCs w:val="16"/>
        </w:rPr>
        <w:t>3</w:t>
      </w:r>
      <w:r w:rsidRPr="006A75A3">
        <w:rPr>
          <w:rFonts w:ascii="Tahoma" w:hAnsi="Tahoma" w:cs="Tahoma"/>
          <w:sz w:val="16"/>
          <w:szCs w:val="16"/>
        </w:rPr>
        <w:t>0</w:t>
      </w:r>
    </w:p>
    <w:p w:rsidR="000B4563" w:rsidRPr="006A75A3" w:rsidRDefault="000B4563" w:rsidP="000B4563">
      <w:pPr>
        <w:rPr>
          <w:rFonts w:ascii="Tahoma" w:hAnsi="Tahoma" w:cs="Tahoma"/>
          <w:sz w:val="16"/>
          <w:szCs w:val="16"/>
          <w:highlight w:val="green"/>
        </w:rPr>
      </w:pPr>
      <w:r>
        <w:rPr>
          <w:rFonts w:ascii="Tahoma" w:hAnsi="Tahoma" w:cs="Tahoma"/>
          <w:sz w:val="16"/>
          <w:szCs w:val="16"/>
        </w:rPr>
        <w:t>Otwarcie ofert nastąpi 15.11</w:t>
      </w:r>
      <w:r w:rsidRPr="006A75A3">
        <w:rPr>
          <w:rFonts w:ascii="Tahoma" w:hAnsi="Tahoma" w:cs="Tahoma"/>
          <w:sz w:val="16"/>
          <w:szCs w:val="16"/>
        </w:rPr>
        <w:t>.2019 r. o godz. 1</w:t>
      </w:r>
      <w:r w:rsidR="00AD5E97">
        <w:rPr>
          <w:rFonts w:ascii="Tahoma" w:hAnsi="Tahoma" w:cs="Tahoma"/>
          <w:sz w:val="16"/>
          <w:szCs w:val="16"/>
        </w:rPr>
        <w:t>0</w:t>
      </w:r>
      <w:r w:rsidRPr="006A75A3">
        <w:rPr>
          <w:rFonts w:ascii="Tahoma" w:hAnsi="Tahoma" w:cs="Tahoma"/>
          <w:sz w:val="16"/>
          <w:szCs w:val="16"/>
        </w:rPr>
        <w:t>:</w:t>
      </w:r>
      <w:r>
        <w:rPr>
          <w:rFonts w:ascii="Tahoma" w:hAnsi="Tahoma" w:cs="Tahoma"/>
          <w:sz w:val="16"/>
          <w:szCs w:val="16"/>
        </w:rPr>
        <w:t>0</w:t>
      </w:r>
      <w:r w:rsidRPr="006A75A3">
        <w:rPr>
          <w:rFonts w:ascii="Tahoma" w:hAnsi="Tahoma" w:cs="Tahoma"/>
          <w:sz w:val="16"/>
          <w:szCs w:val="16"/>
        </w:rPr>
        <w:t>0 w siedzibie Politechniki Częstochowskiej przy ul. Dąbrowskiego 69, pok. 32.</w:t>
      </w:r>
    </w:p>
    <w:p w:rsidR="00F01DEB" w:rsidRPr="00ED24DD" w:rsidRDefault="00F01DEB" w:rsidP="00F01DEB">
      <w:pPr>
        <w:pStyle w:val="Tekstpodstawowy"/>
        <w:jc w:val="both"/>
        <w:rPr>
          <w:rFonts w:ascii="Tahoma" w:hAnsi="Tahoma" w:cs="Tahoma"/>
          <w:sz w:val="18"/>
          <w:szCs w:val="18"/>
        </w:rPr>
      </w:pPr>
    </w:p>
    <w:p w:rsidR="004F555F" w:rsidRPr="00ED24DD" w:rsidRDefault="004F555F" w:rsidP="00F01DEB">
      <w:pPr>
        <w:pStyle w:val="Tekstpodstawowy"/>
        <w:ind w:left="3117" w:firstLine="423"/>
        <w:jc w:val="right"/>
        <w:rPr>
          <w:rFonts w:ascii="Tahoma" w:hAnsi="Tahoma" w:cs="Tahoma"/>
          <w:sz w:val="18"/>
          <w:szCs w:val="18"/>
        </w:rPr>
      </w:pPr>
    </w:p>
    <w:p w:rsidR="004F555F" w:rsidRPr="00ED24DD" w:rsidRDefault="004F555F" w:rsidP="00F01DEB">
      <w:pPr>
        <w:pStyle w:val="Tekstpodstawowy"/>
        <w:ind w:left="3117" w:firstLine="423"/>
        <w:jc w:val="both"/>
        <w:rPr>
          <w:rFonts w:ascii="Tahoma" w:hAnsi="Tahoma" w:cs="Tahoma"/>
          <w:sz w:val="18"/>
          <w:szCs w:val="18"/>
        </w:rPr>
      </w:pPr>
    </w:p>
    <w:p w:rsidR="00A063D3" w:rsidRPr="00ED24DD" w:rsidRDefault="00A063D3" w:rsidP="00F01DEB">
      <w:pPr>
        <w:ind w:firstLine="284"/>
        <w:jc w:val="center"/>
        <w:rPr>
          <w:rFonts w:ascii="Tahoma" w:hAnsi="Tahoma" w:cs="Tahoma"/>
        </w:rPr>
      </w:pPr>
      <w:r w:rsidRPr="00ED24DD">
        <w:rPr>
          <w:rFonts w:ascii="Tahoma" w:hAnsi="Tahoma" w:cs="Tahoma"/>
        </w:rPr>
        <w:t>KANCLERZ POLITECHNIKI</w:t>
      </w:r>
      <w:r w:rsidRPr="00ED24DD">
        <w:rPr>
          <w:rFonts w:ascii="Tahoma" w:hAnsi="Tahoma" w:cs="Tahoma"/>
        </w:rPr>
        <w:br/>
        <w:t>CZĘSTOCHOWSKIEJ</w:t>
      </w:r>
    </w:p>
    <w:p w:rsidR="00A9791F" w:rsidRPr="00ED24DD" w:rsidRDefault="00684AB8" w:rsidP="00F01DEB">
      <w:pPr>
        <w:ind w:firstLine="284"/>
        <w:jc w:val="center"/>
        <w:rPr>
          <w:rFonts w:ascii="Tahoma" w:hAnsi="Tahoma" w:cs="Tahoma"/>
        </w:rPr>
      </w:pPr>
      <w:r w:rsidRPr="00ED24DD">
        <w:rPr>
          <w:rFonts w:ascii="Tahoma" w:hAnsi="Tahoma" w:cs="Tahoma"/>
        </w:rPr>
        <w:t>dr inż. Arkadiusz</w:t>
      </w:r>
      <w:r w:rsidR="00A9791F" w:rsidRPr="00ED24DD">
        <w:rPr>
          <w:rFonts w:ascii="Tahoma" w:hAnsi="Tahoma" w:cs="Tahoma"/>
        </w:rPr>
        <w:t xml:space="preserve"> </w:t>
      </w:r>
      <w:r w:rsidRPr="00ED24DD">
        <w:rPr>
          <w:rFonts w:ascii="Tahoma" w:hAnsi="Tahoma" w:cs="Tahoma"/>
        </w:rPr>
        <w:t>Kociszewski</w:t>
      </w:r>
    </w:p>
    <w:p w:rsidR="006D4AB3" w:rsidRPr="00ED24DD" w:rsidRDefault="006D4AB3" w:rsidP="00F01DEB">
      <w:pPr>
        <w:pStyle w:val="Tekstpodstawowy"/>
        <w:ind w:left="3117" w:firstLine="423"/>
        <w:jc w:val="right"/>
        <w:rPr>
          <w:rFonts w:ascii="Tahoma" w:hAnsi="Tahoma" w:cs="Tahoma"/>
          <w:sz w:val="18"/>
          <w:szCs w:val="18"/>
        </w:rPr>
      </w:pPr>
    </w:p>
    <w:p w:rsidR="006D4AB3" w:rsidRPr="00ED24DD" w:rsidRDefault="006D4AB3" w:rsidP="00F01DEB">
      <w:pPr>
        <w:pStyle w:val="Tekstpodstawowy"/>
        <w:rPr>
          <w:rFonts w:ascii="Tahoma" w:hAnsi="Tahoma" w:cs="Tahoma"/>
          <w:sz w:val="18"/>
          <w:szCs w:val="18"/>
        </w:rPr>
      </w:pPr>
    </w:p>
    <w:sectPr w:rsidR="006D4AB3" w:rsidRPr="00ED24DD">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7E7" w:rsidRDefault="004C07E7">
      <w:r>
        <w:separator/>
      </w:r>
    </w:p>
  </w:endnote>
  <w:endnote w:type="continuationSeparator" w:id="0">
    <w:p w:rsidR="004C07E7" w:rsidRDefault="004C0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F42007">
      <w:rPr>
        <w:rStyle w:val="Numerstrony"/>
        <w:rFonts w:ascii="Arial" w:hAnsi="Arial" w:cs="Arial"/>
        <w:noProof/>
        <w:sz w:val="18"/>
        <w:szCs w:val="18"/>
      </w:rPr>
      <w:t>4</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F42007">
      <w:rPr>
        <w:rStyle w:val="Numerstrony"/>
        <w:rFonts w:ascii="Arial" w:hAnsi="Arial" w:cs="Arial"/>
        <w:noProof/>
        <w:sz w:val="18"/>
        <w:szCs w:val="18"/>
      </w:rPr>
      <w:t>4</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D5E97">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7E7" w:rsidRDefault="004C07E7">
      <w:r>
        <w:separator/>
      </w:r>
    </w:p>
  </w:footnote>
  <w:footnote w:type="continuationSeparator" w:id="0">
    <w:p w:rsidR="004C07E7" w:rsidRDefault="004C07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AB8" w:rsidRDefault="00684AB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AB8" w:rsidRDefault="00684AB8">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AB8" w:rsidRDefault="00684AB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B33E6"/>
    <w:multiLevelType w:val="hybridMultilevel"/>
    <w:tmpl w:val="66D8C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DD56D8"/>
    <w:multiLevelType w:val="hybridMultilevel"/>
    <w:tmpl w:val="017AF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F2C02D1"/>
    <w:multiLevelType w:val="hybridMultilevel"/>
    <w:tmpl w:val="BA62D1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9"/>
  </w:num>
  <w:num w:numId="3">
    <w:abstractNumId w:val="4"/>
  </w:num>
  <w:num w:numId="4">
    <w:abstractNumId w:val="8"/>
  </w:num>
  <w:num w:numId="5">
    <w:abstractNumId w:val="2"/>
  </w:num>
  <w:num w:numId="6">
    <w:abstractNumId w:val="3"/>
  </w:num>
  <w:num w:numId="7">
    <w:abstractNumId w:val="7"/>
  </w:num>
  <w:num w:numId="8">
    <w:abstractNumId w:val="0"/>
  </w:num>
  <w:num w:numId="9">
    <w:abstractNumId w:val="10"/>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7E7"/>
    <w:rsid w:val="00031374"/>
    <w:rsid w:val="000A1097"/>
    <w:rsid w:val="000B4563"/>
    <w:rsid w:val="00180C6E"/>
    <w:rsid w:val="00190795"/>
    <w:rsid w:val="00485920"/>
    <w:rsid w:val="004C07E7"/>
    <w:rsid w:val="004F555F"/>
    <w:rsid w:val="005144A9"/>
    <w:rsid w:val="00572A77"/>
    <w:rsid w:val="005B1B08"/>
    <w:rsid w:val="00684AB8"/>
    <w:rsid w:val="006D4AB3"/>
    <w:rsid w:val="006F3B81"/>
    <w:rsid w:val="00A063D3"/>
    <w:rsid w:val="00A26F29"/>
    <w:rsid w:val="00A905AC"/>
    <w:rsid w:val="00A9791F"/>
    <w:rsid w:val="00AD5E97"/>
    <w:rsid w:val="00B4647E"/>
    <w:rsid w:val="00C370F2"/>
    <w:rsid w:val="00C44EEC"/>
    <w:rsid w:val="00D10F92"/>
    <w:rsid w:val="00DF32E8"/>
    <w:rsid w:val="00E2789F"/>
    <w:rsid w:val="00EA416E"/>
    <w:rsid w:val="00ED24DD"/>
    <w:rsid w:val="00F01DEB"/>
    <w:rsid w:val="00F42007"/>
    <w:rsid w:val="00F623C5"/>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2164698"/>
  <w15:chartTrackingRefBased/>
  <w15:docId w15:val="{63BFA0EA-8077-49FF-B916-710D2D06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Akapitzlist">
    <w:name w:val="List Paragraph"/>
    <w:basedOn w:val="Normalny"/>
    <w:uiPriority w:val="34"/>
    <w:qFormat/>
    <w:rsid w:val="00ED24DD"/>
    <w:pPr>
      <w:ind w:left="708"/>
    </w:pPr>
  </w:style>
  <w:style w:type="paragraph" w:styleId="Tekstdymka">
    <w:name w:val="Balloon Text"/>
    <w:basedOn w:val="Normalny"/>
    <w:link w:val="TekstdymkaZnak"/>
    <w:rsid w:val="00ED24DD"/>
    <w:rPr>
      <w:rFonts w:ascii="Segoe UI" w:hAnsi="Segoe UI" w:cs="Segoe UI"/>
      <w:sz w:val="18"/>
      <w:szCs w:val="18"/>
    </w:rPr>
  </w:style>
  <w:style w:type="character" w:customStyle="1" w:styleId="TekstdymkaZnak">
    <w:name w:val="Tekst dymka Znak"/>
    <w:basedOn w:val="Domylnaczcionkaakapitu"/>
    <w:link w:val="Tekstdymka"/>
    <w:rsid w:val="00ED24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728604">
      <w:bodyDiv w:val="1"/>
      <w:marLeft w:val="0"/>
      <w:marRight w:val="0"/>
      <w:marTop w:val="0"/>
      <w:marBottom w:val="0"/>
      <w:divBdr>
        <w:top w:val="none" w:sz="0" w:space="0" w:color="auto"/>
        <w:left w:val="none" w:sz="0" w:space="0" w:color="auto"/>
        <w:bottom w:val="none" w:sz="0" w:space="0" w:color="auto"/>
        <w:right w:val="none" w:sz="0" w:space="0" w:color="auto"/>
      </w:divBdr>
      <w:divsChild>
        <w:div w:id="1845779811">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2062</Words>
  <Characters>12553</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2019-10-29T09:39:00Z</cp:lastPrinted>
  <dcterms:created xsi:type="dcterms:W3CDTF">2019-10-30T13:55:00Z</dcterms:created>
  <dcterms:modified xsi:type="dcterms:W3CDTF">2019-10-30T13:55:00Z</dcterms:modified>
</cp:coreProperties>
</file>