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A26E58" w:rsidRPr="00A26E58">
        <w:rPr>
          <w:rFonts w:ascii="Georgia" w:hAnsi="Georgia"/>
          <w:b/>
          <w:sz w:val="22"/>
          <w:szCs w:val="22"/>
        </w:rPr>
        <w:t>NZ/55/D/N/AC/2019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A26E58" w:rsidRPr="00A26E58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A26E58" w:rsidRPr="00A26E58">
        <w:rPr>
          <w:rFonts w:ascii="Georgia" w:hAnsi="Georgia"/>
          <w:b/>
          <w:sz w:val="22"/>
          <w:szCs w:val="22"/>
        </w:rPr>
        <w:t>Dostawa odczynników, kontroli, kalibratorów, materiałów zużywalnych wraz z dzierżawą dwóch analizatorów hematologicznych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D7" w:rsidRDefault="001F3DD7" w:rsidP="000D34A4">
      <w:r>
        <w:separator/>
      </w:r>
    </w:p>
  </w:endnote>
  <w:endnote w:type="continuationSeparator" w:id="0">
    <w:p w:rsidR="001F3DD7" w:rsidRDefault="001F3DD7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26E5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26E58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8658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6E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26E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2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D7" w:rsidRDefault="001F3DD7" w:rsidP="000D34A4">
      <w:r>
        <w:separator/>
      </w:r>
    </w:p>
  </w:footnote>
  <w:footnote w:type="continuationSeparator" w:id="0">
    <w:p w:rsidR="001F3DD7" w:rsidRDefault="001F3DD7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2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26E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26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7"/>
    <w:rsid w:val="000523A0"/>
    <w:rsid w:val="000D34A4"/>
    <w:rsid w:val="001E5B88"/>
    <w:rsid w:val="001F3DD7"/>
    <w:rsid w:val="0029098D"/>
    <w:rsid w:val="00524F1F"/>
    <w:rsid w:val="005418B6"/>
    <w:rsid w:val="0062674F"/>
    <w:rsid w:val="006757E5"/>
    <w:rsid w:val="00703647"/>
    <w:rsid w:val="007B1D9F"/>
    <w:rsid w:val="00A26E58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FA1F-A251-4C50-A276-8EF26F3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2019-10-22T12:00:00Z</dcterms:created>
  <dcterms:modified xsi:type="dcterms:W3CDTF">2019-10-22T12:00:00Z</dcterms:modified>
</cp:coreProperties>
</file>