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6" w:rsidRPr="002F1B71" w:rsidRDefault="00EC7956" w:rsidP="0032767F">
      <w:pPr>
        <w:pStyle w:val="Heading1"/>
        <w:spacing w:before="12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F1B71">
        <w:rPr>
          <w:rFonts w:ascii="Times New Roman" w:hAnsi="Times New Roman"/>
          <w:b/>
          <w:color w:val="auto"/>
          <w:sz w:val="24"/>
          <w:szCs w:val="24"/>
        </w:rPr>
        <w:t>UMOWA</w:t>
      </w:r>
      <w:r w:rsidRPr="002F1B71">
        <w:rPr>
          <w:rFonts w:ascii="Times New Roman" w:hAnsi="Times New Roman"/>
          <w:color w:val="auto"/>
          <w:sz w:val="24"/>
          <w:szCs w:val="24"/>
        </w:rPr>
        <w:br/>
        <w:t>powierzenia przetwarzania danych osobowych</w:t>
      </w:r>
    </w:p>
    <w:p w:rsidR="00EC7956" w:rsidRPr="002F1B71" w:rsidRDefault="00EC7956" w:rsidP="0032767F">
      <w:pPr>
        <w:spacing w:before="120" w:after="120" w:line="360" w:lineRule="auto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sz w:val="24"/>
          <w:szCs w:val="24"/>
          <w:lang w:val="pl-PL" w:eastAsia="de-DE"/>
        </w:rPr>
        <w:t xml:space="preserve">zawarta w dniu ….……………………….r., w Warszawie, pomiędzy: </w:t>
      </w:r>
    </w:p>
    <w:p w:rsidR="00EC7956" w:rsidRPr="002F1B71" w:rsidRDefault="00EC7956" w:rsidP="0032767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>Centralnym Szpitalem Klinicznym Ministerstwa Spraw Wewnętrznych i Administracji z siedzibą w Warszawie,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 xml:space="preserve"> ul. Wołoska 137,  02-5077 Warszawa, wpisanym do rejestru stowarzyszeń, innych organizacji społecznych i zawodowych, fundacji oraz samodzielnych publicznych zakładów opieki zdrowotnej, przez Sąd Rejonowy dla m.st. Warszawy, XIII Wydział Gospodarczy Krajowego Rejestru Sądowego, pod numerem KRS: 0000133822, NIP: 521-29-25-596, REGON; 006472651, który reprezentuje: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ab/>
      </w:r>
    </w:p>
    <w:p w:rsidR="00EC7956" w:rsidRPr="002F1B71" w:rsidRDefault="00EC7956" w:rsidP="00723F41">
      <w:pPr>
        <w:spacing w:before="120" w:after="120" w:line="360" w:lineRule="auto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 xml:space="preserve">dr n. med. Marcin Maruszewski 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>-  Dyrektor</w:t>
      </w:r>
    </w:p>
    <w:p w:rsidR="00EC7956" w:rsidRPr="002F1B71" w:rsidRDefault="00EC7956" w:rsidP="0032767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sz w:val="24"/>
          <w:szCs w:val="24"/>
          <w:lang w:val="pl-PL" w:eastAsia="de-DE"/>
        </w:rPr>
        <w:t>zwanym dalej „</w:t>
      </w: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>Powierzającym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>” lub „</w:t>
      </w: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>Administratorem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>”</w:t>
      </w:r>
    </w:p>
    <w:p w:rsidR="00EC7956" w:rsidRPr="002F1B71" w:rsidRDefault="00EC7956" w:rsidP="0032767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sz w:val="24"/>
          <w:szCs w:val="24"/>
          <w:lang w:val="pl-PL" w:eastAsia="de-DE"/>
        </w:rPr>
        <w:t>a</w:t>
      </w:r>
    </w:p>
    <w:p w:rsidR="00EC7956" w:rsidRPr="002F1B71" w:rsidRDefault="00EC7956" w:rsidP="0032767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 xml:space="preserve">……………………………………….., 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 xml:space="preserve">ul. ………………………………………., działającą w oparciu o wpis do KRS w ………………………………. nr ………………………..,      NIP </w:t>
      </w:r>
      <w:r w:rsidRPr="002F1B71">
        <w:rPr>
          <w:rFonts w:ascii="Times New Roman" w:hAnsi="Times New Roman"/>
          <w:sz w:val="24"/>
          <w:szCs w:val="24"/>
        </w:rPr>
        <w:t>………………………….., REGON: ………………………., który reprezentuje:</w:t>
      </w:r>
    </w:p>
    <w:p w:rsidR="00EC7956" w:rsidRPr="002F1B71" w:rsidRDefault="00EC7956" w:rsidP="0032767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sz w:val="24"/>
          <w:szCs w:val="24"/>
          <w:lang w:val="pl-PL" w:eastAsia="de-DE"/>
        </w:rPr>
        <w:t>…………………………………………………………………………………………………………………………………………………………………………………………….………..</w:t>
      </w:r>
    </w:p>
    <w:p w:rsidR="00EC7956" w:rsidRPr="002F1B71" w:rsidRDefault="00EC7956" w:rsidP="00723F41">
      <w:pPr>
        <w:spacing w:before="120" w:after="120" w:line="360" w:lineRule="auto"/>
        <w:ind w:hanging="284"/>
        <w:rPr>
          <w:rFonts w:ascii="Times New Roman" w:hAnsi="Times New Roman"/>
          <w:sz w:val="24"/>
          <w:szCs w:val="24"/>
          <w:lang w:val="pl-PL" w:eastAsia="de-DE"/>
        </w:rPr>
      </w:pPr>
      <w:r w:rsidRPr="002F1B71">
        <w:rPr>
          <w:rFonts w:ascii="Times New Roman" w:hAnsi="Times New Roman"/>
          <w:sz w:val="24"/>
          <w:szCs w:val="24"/>
          <w:lang w:val="pl-PL" w:eastAsia="de-DE"/>
        </w:rPr>
        <w:tab/>
        <w:t>zwaną dalej „</w:t>
      </w:r>
      <w:r w:rsidRPr="002F1B71">
        <w:rPr>
          <w:rFonts w:ascii="Times New Roman" w:hAnsi="Times New Roman"/>
          <w:b/>
          <w:sz w:val="24"/>
          <w:szCs w:val="24"/>
          <w:lang w:val="pl-PL" w:eastAsia="de-DE"/>
        </w:rPr>
        <w:t>Przetwarzającym</w:t>
      </w:r>
      <w:r w:rsidRPr="002F1B71">
        <w:rPr>
          <w:rFonts w:ascii="Times New Roman" w:hAnsi="Times New Roman"/>
          <w:sz w:val="24"/>
          <w:szCs w:val="24"/>
          <w:lang w:val="pl-PL" w:eastAsia="de-DE"/>
        </w:rPr>
        <w:t xml:space="preserve">” </w:t>
      </w:r>
    </w:p>
    <w:p w:rsidR="00EC7956" w:rsidRPr="002F1B71" w:rsidRDefault="00EC7956" w:rsidP="0032767F">
      <w:pPr>
        <w:pStyle w:val="BodyText"/>
        <w:spacing w:before="120" w:after="120" w:line="360" w:lineRule="auto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>Mając na uwadze, że:</w:t>
      </w:r>
    </w:p>
    <w:p w:rsidR="00EC7956" w:rsidRPr="002F1B71" w:rsidRDefault="00EC7956" w:rsidP="0032767F">
      <w:pPr>
        <w:pStyle w:val="BodyTex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 xml:space="preserve">Strony z w dniu </w:t>
      </w:r>
      <w:r w:rsidRPr="002F1B71">
        <w:rPr>
          <w:rFonts w:ascii="Times New Roman" w:hAnsi="Times New Roman"/>
          <w:b/>
          <w:sz w:val="24"/>
          <w:szCs w:val="24"/>
          <w:lang/>
        </w:rPr>
        <w:t>………….. r.</w:t>
      </w:r>
      <w:r w:rsidRPr="002F1B71">
        <w:rPr>
          <w:rFonts w:ascii="Times New Roman" w:hAnsi="Times New Roman"/>
          <w:sz w:val="24"/>
          <w:szCs w:val="24"/>
          <w:lang/>
        </w:rPr>
        <w:t xml:space="preserve"> zawarły Umowę nr …………………….. („</w:t>
      </w:r>
      <w:r w:rsidRPr="002F1B71">
        <w:rPr>
          <w:rFonts w:ascii="Times New Roman" w:hAnsi="Times New Roman"/>
          <w:b/>
          <w:bCs/>
          <w:sz w:val="24"/>
          <w:szCs w:val="24"/>
          <w:lang/>
        </w:rPr>
        <w:t>Umowa Podstawowa</w:t>
      </w:r>
      <w:r w:rsidRPr="002F1B71">
        <w:rPr>
          <w:rFonts w:ascii="Times New Roman" w:hAnsi="Times New Roman"/>
          <w:sz w:val="24"/>
          <w:szCs w:val="24"/>
          <w:lang/>
        </w:rPr>
        <w:t xml:space="preserve">”), dotyczącą usług związanych z systemami i aparaturą medyczną wykorzystywanymi przez Powierzającego przy prowadzeniu jego statutowej działalności, </w:t>
      </w:r>
      <w:r>
        <w:rPr>
          <w:rFonts w:ascii="Times New Roman" w:hAnsi="Times New Roman"/>
          <w:sz w:val="24"/>
          <w:szCs w:val="24"/>
          <w:lang/>
        </w:rPr>
        <w:t xml:space="preserve">której prawidłowa realizacja wymaga powierzenia określonych zbiorów danych osobowych przez Administratora do przetwarzania przez Przetwarzającego. </w:t>
      </w:r>
    </w:p>
    <w:p w:rsidR="00EC7956" w:rsidRPr="002F1B71" w:rsidRDefault="00EC7956" w:rsidP="00C06EDE">
      <w:pPr>
        <w:pStyle w:val="BodyTex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>Celem niniejszej umowy (dalej „</w:t>
      </w:r>
      <w:r w:rsidRPr="002F1B71">
        <w:rPr>
          <w:rFonts w:ascii="Times New Roman" w:hAnsi="Times New Roman"/>
          <w:b/>
          <w:sz w:val="24"/>
          <w:szCs w:val="24"/>
          <w:lang/>
        </w:rPr>
        <w:t>Umowa</w:t>
      </w:r>
      <w:r w:rsidRPr="002F1B71">
        <w:rPr>
          <w:rFonts w:ascii="Times New Roman" w:hAnsi="Times New Roman"/>
          <w:sz w:val="24"/>
          <w:szCs w:val="24"/>
          <w:lang/>
        </w:rPr>
        <w:t>”) jest ustalenie warunków, na jakich Przetwarzający wykonuje operacje przetwarzania Danych Osobowych w imieniu i na zlecenie Administratora;</w:t>
      </w:r>
    </w:p>
    <w:p w:rsidR="00EC7956" w:rsidRPr="002F1B71" w:rsidRDefault="00EC7956" w:rsidP="00723F41">
      <w:pPr>
        <w:pStyle w:val="BodyText"/>
        <w:numPr>
          <w:ilvl w:val="0"/>
          <w:numId w:val="2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color w:val="212121"/>
          <w:sz w:val="24"/>
          <w:szCs w:val="24"/>
          <w:lang/>
        </w:rPr>
        <w:t xml:space="preserve">Strony zawierając Umowę dążą do takiego uregulowania zasad przetwarzania Danych </w:t>
      </w:r>
      <w:r w:rsidRPr="002F1B71">
        <w:rPr>
          <w:rFonts w:ascii="Times New Roman" w:hAnsi="Times New Roman"/>
          <w:color w:val="212121"/>
          <w:sz w:val="24"/>
          <w:szCs w:val="24"/>
          <w:lang/>
        </w:rPr>
        <w:tab/>
        <w:t xml:space="preserve">Osobowych, aby odpowiadały one w pełni postanowieniom </w:t>
      </w:r>
      <w:r w:rsidRPr="002F1B71">
        <w:rPr>
          <w:rFonts w:ascii="Times New Roman" w:hAnsi="Times New Roman"/>
          <w:sz w:val="24"/>
          <w:szCs w:val="24"/>
          <w:lang/>
        </w:rPr>
        <w:t xml:space="preserve">rozporządzenia </w:t>
      </w:r>
      <w:r w:rsidRPr="002F1B71">
        <w:rPr>
          <w:rFonts w:ascii="Times New Roman" w:hAnsi="Times New Roman"/>
          <w:sz w:val="24"/>
          <w:szCs w:val="24"/>
          <w:lang/>
        </w:rPr>
        <w:tab/>
        <w:t xml:space="preserve">Parlamentu Europejskiego i Rady (UE) 2016/679 z 27.04.2016 r. w sprawie ochrony </w:t>
      </w:r>
      <w:r w:rsidRPr="002F1B71">
        <w:rPr>
          <w:rFonts w:ascii="Times New Roman" w:hAnsi="Times New Roman"/>
          <w:sz w:val="24"/>
          <w:szCs w:val="24"/>
          <w:lang/>
        </w:rPr>
        <w:tab/>
        <w:t xml:space="preserve">osób fizycznych w związku z przetwarzaniem danych osobowych i w sprawie </w:t>
      </w:r>
      <w:r w:rsidRPr="002F1B71">
        <w:rPr>
          <w:rFonts w:ascii="Times New Roman" w:hAnsi="Times New Roman"/>
          <w:sz w:val="24"/>
          <w:szCs w:val="24"/>
          <w:lang/>
        </w:rPr>
        <w:tab/>
        <w:t xml:space="preserve">swobodnego przepływu takich danych oraz uchylenia dyrektywy 95/46/WE (ogólne </w:t>
      </w:r>
      <w:r w:rsidRPr="002F1B71">
        <w:rPr>
          <w:rFonts w:ascii="Times New Roman" w:hAnsi="Times New Roman"/>
          <w:sz w:val="24"/>
          <w:szCs w:val="24"/>
          <w:lang/>
        </w:rPr>
        <w:tab/>
        <w:t>rozporządzenie o ochronie danych) (Dz. Urz. UE L 119, s. 1) – dalej „</w:t>
      </w:r>
      <w:r w:rsidRPr="002F1B71">
        <w:rPr>
          <w:rFonts w:ascii="Times New Roman" w:hAnsi="Times New Roman"/>
          <w:b/>
          <w:sz w:val="24"/>
          <w:szCs w:val="24"/>
          <w:lang/>
        </w:rPr>
        <w:t>RODO”</w:t>
      </w:r>
      <w:r w:rsidRPr="002F1B71">
        <w:rPr>
          <w:rFonts w:ascii="Times New Roman" w:hAnsi="Times New Roman"/>
          <w:sz w:val="24"/>
          <w:szCs w:val="24"/>
          <w:lang/>
        </w:rPr>
        <w:t>.</w:t>
      </w:r>
      <w:r w:rsidRPr="002F1B71">
        <w:rPr>
          <w:rFonts w:ascii="Times New Roman" w:hAnsi="Times New Roman"/>
          <w:color w:val="212121"/>
          <w:sz w:val="24"/>
          <w:szCs w:val="24"/>
          <w:lang/>
        </w:rPr>
        <w:t xml:space="preserve"> </w:t>
      </w:r>
    </w:p>
    <w:p w:rsidR="00EC7956" w:rsidRDefault="00EC7956" w:rsidP="00723F41">
      <w:pPr>
        <w:pStyle w:val="BodyText"/>
        <w:spacing w:before="120" w:after="120" w:line="360" w:lineRule="auto"/>
        <w:ind w:hanging="142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 xml:space="preserve">        Strony postanowiły zawrzeć niniejszą umowę, o następującej treści:</w:t>
      </w:r>
    </w:p>
    <w:p w:rsidR="00EC7956" w:rsidRPr="002F1B71" w:rsidRDefault="00EC7956" w:rsidP="0032767F">
      <w:pPr>
        <w:pStyle w:val="BodyTex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§1</w:t>
      </w:r>
    </w:p>
    <w:p w:rsidR="00EC7956" w:rsidRPr="002F1B71" w:rsidRDefault="00EC7956" w:rsidP="0032767F">
      <w:pPr>
        <w:pStyle w:val="BodyTex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Przedmiot Umowy</w:t>
      </w:r>
    </w:p>
    <w:p w:rsidR="00EC7956" w:rsidRPr="002F1B71" w:rsidRDefault="00EC7956" w:rsidP="0032767F">
      <w:pPr>
        <w:pStyle w:val="ListParagraph"/>
        <w:numPr>
          <w:ilvl w:val="1"/>
          <w:numId w:val="3"/>
        </w:numPr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Na podstawie Umowy, Powierzający powierza Przetwarzającemu przetwarzanie dalej opisanych Danych Osobowych na warunkach określonych Umową i Umową Podstawową. Umowa stanowi umowę powierzenia przetwarzania danych osobowych, o której mowa w art. 28 ust. 3 RODO.</w:t>
      </w:r>
    </w:p>
    <w:p w:rsidR="00EC7956" w:rsidRPr="002F1B71" w:rsidRDefault="00EC7956" w:rsidP="0032767F">
      <w:pPr>
        <w:pStyle w:val="ListParagraph"/>
        <w:numPr>
          <w:ilvl w:val="1"/>
          <w:numId w:val="3"/>
        </w:numPr>
        <w:spacing w:before="120" w:after="120" w:line="360" w:lineRule="auto"/>
        <w:ind w:left="709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Powierzenie przetwarzania Danych Osobowych następuje w celu umożliwienia wykonywania przez Przetwarzającego usług dotyczących serwisu aparatury medycznej w ramach gwarancji (dalej „</w:t>
      </w:r>
      <w:r w:rsidRPr="002F1B71">
        <w:rPr>
          <w:rFonts w:ascii="Times New Roman" w:hAnsi="Times New Roman"/>
          <w:b/>
          <w:sz w:val="24"/>
          <w:szCs w:val="24"/>
          <w:lang w:val="pl-PL"/>
        </w:rPr>
        <w:t>Aparatury</w:t>
      </w:r>
      <w:r w:rsidRPr="002F1B71">
        <w:rPr>
          <w:rFonts w:ascii="Times New Roman" w:hAnsi="Times New Roman"/>
          <w:sz w:val="24"/>
          <w:szCs w:val="24"/>
          <w:lang w:val="pl-PL"/>
        </w:rPr>
        <w:t>”), będących przedmiotem Umowy Podstawowej. Pod pojęciem Aparatury należy rozumieć aparaturę medyczną będącą przedmiotem dostawy i objętą w ramach gwarancji usługami serwisowymi zgodnie z Umową Podstawową i Opisem przedmiotu zamówienia, zawierającą w bazie danych w ramach użytkowania w okresie gwarancji dostęp do Danych Osobowych w tym danych wrażliwych.</w:t>
      </w:r>
    </w:p>
    <w:p w:rsidR="00EC7956" w:rsidRPr="002F1B71" w:rsidRDefault="00EC7956" w:rsidP="0032767F">
      <w:pPr>
        <w:pStyle w:val="ListParagraph"/>
        <w:numPr>
          <w:ilvl w:val="1"/>
          <w:numId w:val="3"/>
        </w:numPr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W ramach Umowy przetwarzane będą dane osobowe gromadzone w bazie danych Aparatury (dalej „</w:t>
      </w:r>
      <w:r w:rsidRPr="002F1B71">
        <w:rPr>
          <w:rFonts w:ascii="Times New Roman" w:hAnsi="Times New Roman"/>
          <w:b/>
          <w:sz w:val="24"/>
          <w:szCs w:val="24"/>
          <w:lang w:val="pl-PL"/>
        </w:rPr>
        <w:t>Dane Osobowe</w:t>
      </w:r>
      <w:r w:rsidRPr="002F1B71">
        <w:rPr>
          <w:rFonts w:ascii="Times New Roman" w:hAnsi="Times New Roman"/>
          <w:sz w:val="24"/>
          <w:szCs w:val="24"/>
          <w:lang w:val="pl-PL"/>
        </w:rPr>
        <w:t>”), co obejmuje w szczególności następujące rodzaje danych:</w:t>
      </w:r>
    </w:p>
    <w:p w:rsidR="00EC7956" w:rsidRPr="002F1B71" w:rsidRDefault="00EC7956" w:rsidP="0032767F">
      <w:pPr>
        <w:pStyle w:val="ListParagraph"/>
        <w:numPr>
          <w:ilvl w:val="3"/>
          <w:numId w:val="3"/>
        </w:numPr>
        <w:spacing w:before="120" w:after="12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Dane zwykłe: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imię i nazwisko,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data urodzenia,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płeć,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numer PESEL,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adresy zamieszkania/adres zameldowania,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adresy (numery) IP,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numery telefonów,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seria i numer dokumentu tożsamości,</w:t>
      </w:r>
    </w:p>
    <w:p w:rsidR="00EC7956" w:rsidRPr="002F1B71" w:rsidRDefault="00EC7956" w:rsidP="0032767F">
      <w:pPr>
        <w:pStyle w:val="ListParagraph"/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numery praw do wykonywania zawodu lekarza i pielęgniarki;</w:t>
      </w:r>
    </w:p>
    <w:p w:rsidR="00EC7956" w:rsidRPr="002F1B71" w:rsidRDefault="00EC7956" w:rsidP="0032767F">
      <w:pPr>
        <w:pStyle w:val="ListParagraph"/>
        <w:numPr>
          <w:ilvl w:val="3"/>
          <w:numId w:val="3"/>
        </w:numPr>
        <w:spacing w:before="120" w:after="12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Dane wrażliwe:</w:t>
      </w:r>
    </w:p>
    <w:p w:rsidR="00EC7956" w:rsidRPr="002F1B71" w:rsidRDefault="00EC7956" w:rsidP="0032767F">
      <w:pPr>
        <w:pStyle w:val="ListParagraph"/>
        <w:numPr>
          <w:ilvl w:val="0"/>
          <w:numId w:val="4"/>
        </w:numPr>
        <w:spacing w:before="120" w:after="12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dane dotyczące zdrowia w rozumieniu art. 4 pkt. 15 RODO w tym, informacje gromadzone w dokumentacji medycznej, informacje o stanie zdrowia, diagnozy, stosowane leczenie, opisy i wyniki badań (co obejmuje także zapisane w postaci cyfrowej filmy, badania obrazowe itp.),</w:t>
      </w:r>
    </w:p>
    <w:p w:rsidR="00EC7956" w:rsidRPr="002F1B71" w:rsidRDefault="00EC7956" w:rsidP="0032767F">
      <w:pPr>
        <w:pStyle w:val="ListParagraph"/>
        <w:numPr>
          <w:ilvl w:val="0"/>
          <w:numId w:val="4"/>
        </w:numPr>
        <w:spacing w:before="120" w:after="120"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informacje o niepełno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F1B71">
        <w:rPr>
          <w:rFonts w:ascii="Times New Roman" w:hAnsi="Times New Roman"/>
          <w:sz w:val="24"/>
          <w:szCs w:val="24"/>
          <w:lang w:val="pl-PL"/>
        </w:rPr>
        <w:t>sprawnościach.</w:t>
      </w:r>
    </w:p>
    <w:p w:rsidR="00EC7956" w:rsidRPr="002F1B71" w:rsidRDefault="00EC7956" w:rsidP="0032767F">
      <w:pPr>
        <w:pStyle w:val="ListParagraph"/>
        <w:numPr>
          <w:ilvl w:val="1"/>
          <w:numId w:val="3"/>
        </w:numPr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W ramach Umowy przetwarzane będą Dane Osobowe, gromadzone w bazie Aparatury, dotyczące w szczególności następujących kategorii osób:</w:t>
      </w:r>
    </w:p>
    <w:p w:rsidR="00EC7956" w:rsidRPr="002F1B71" w:rsidRDefault="00EC7956" w:rsidP="0032767F">
      <w:pPr>
        <w:pStyle w:val="ListParagraph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pracownicy Powierzającego, </w:t>
      </w:r>
    </w:p>
    <w:p w:rsidR="00EC7956" w:rsidRPr="002F1B71" w:rsidRDefault="00EC7956" w:rsidP="0032767F">
      <w:pPr>
        <w:pStyle w:val="ListParagraph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kontrahenci Powierzającego, w tym osoby angażowane przez Powierzającego na podstawie umów cywilnoprawnych (np. umowy zlecenia, umowy o dzieło, umowy świadczenia usług),</w:t>
      </w:r>
    </w:p>
    <w:p w:rsidR="00EC7956" w:rsidRPr="002F1B71" w:rsidRDefault="00EC7956" w:rsidP="0032767F">
      <w:pPr>
        <w:pStyle w:val="ListParagraph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pacjentów Powierzającego,</w:t>
      </w:r>
    </w:p>
    <w:p w:rsidR="00EC7956" w:rsidRPr="002F1B71" w:rsidRDefault="00EC7956" w:rsidP="0032767F">
      <w:pPr>
        <w:pStyle w:val="ListParagraph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osób uzyskujących dostęp do dokumentacji medycznej,</w:t>
      </w:r>
    </w:p>
    <w:p w:rsidR="00EC7956" w:rsidRDefault="00EC7956" w:rsidP="00C259F9">
      <w:pPr>
        <w:pStyle w:val="ListParagraph"/>
        <w:numPr>
          <w:ilvl w:val="0"/>
          <w:numId w:val="5"/>
        </w:numPr>
        <w:spacing w:before="120" w:after="120" w:line="360" w:lineRule="auto"/>
        <w:ind w:left="1134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259F9">
        <w:rPr>
          <w:rFonts w:ascii="Times New Roman" w:hAnsi="Times New Roman"/>
          <w:sz w:val="24"/>
          <w:szCs w:val="24"/>
          <w:lang w:val="pl-PL"/>
        </w:rPr>
        <w:t>inni użytkownicy Systemów.</w:t>
      </w:r>
    </w:p>
    <w:p w:rsidR="00EC7956" w:rsidRPr="002F1B71" w:rsidRDefault="00EC7956" w:rsidP="0032767F">
      <w:pPr>
        <w:pStyle w:val="BodyText2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§2</w:t>
      </w:r>
    </w:p>
    <w:p w:rsidR="00EC7956" w:rsidRPr="002F1B71" w:rsidRDefault="00EC7956" w:rsidP="0032767F">
      <w:pPr>
        <w:pStyle w:val="BodyText2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Okres obowiązywania Umowy</w:t>
      </w:r>
    </w:p>
    <w:p w:rsidR="00EC7956" w:rsidRPr="002F1B71" w:rsidRDefault="00EC7956" w:rsidP="0032767F">
      <w:pPr>
        <w:pStyle w:val="BodyText2"/>
        <w:spacing w:before="12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>Umowa zostaje zawarta na czas określony tj. od dnia zawarcia Umowy do:</w:t>
      </w:r>
    </w:p>
    <w:p w:rsidR="00EC7956" w:rsidRPr="002F1B71" w:rsidRDefault="00EC7956" w:rsidP="0032767F">
      <w:pPr>
        <w:pStyle w:val="BodyText2"/>
        <w:numPr>
          <w:ilvl w:val="0"/>
          <w:numId w:val="6"/>
        </w:numPr>
        <w:spacing w:before="120" w:line="360" w:lineRule="auto"/>
        <w:ind w:left="709" w:hanging="425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>do upływu trzech miesięcy po ustaniu Umowy Podstawowej,</w:t>
      </w:r>
    </w:p>
    <w:p w:rsidR="00EC7956" w:rsidRPr="002F1B71" w:rsidRDefault="00EC7956" w:rsidP="0032767F">
      <w:pPr>
        <w:pStyle w:val="BodyText2"/>
        <w:spacing w:before="12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  <w:lang/>
        </w:rPr>
        <w:t xml:space="preserve">w zależności od tego, które ze zdarzeń wymienionych w pkt a)-b) powyżej nastąpi wcześniej. </w:t>
      </w:r>
    </w:p>
    <w:p w:rsidR="00EC7956" w:rsidRPr="002F1B71" w:rsidRDefault="00EC7956" w:rsidP="0032767F">
      <w:pPr>
        <w:pStyle w:val="BodyText2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§3</w:t>
      </w:r>
    </w:p>
    <w:p w:rsidR="00EC7956" w:rsidRDefault="00EC7956" w:rsidP="004F3E5C">
      <w:pPr>
        <w:pStyle w:val="BodyText2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2F1B71">
        <w:rPr>
          <w:rFonts w:ascii="Times New Roman" w:hAnsi="Times New Roman"/>
          <w:b/>
          <w:sz w:val="24"/>
          <w:szCs w:val="24"/>
          <w:lang/>
        </w:rPr>
        <w:t>Obowiązki Przetwarzającego</w:t>
      </w:r>
    </w:p>
    <w:p w:rsidR="00EC7956" w:rsidRPr="004F3E5C" w:rsidRDefault="00EC7956" w:rsidP="004F3E5C">
      <w:pPr>
        <w:pStyle w:val="BodyText2"/>
        <w:numPr>
          <w:ilvl w:val="0"/>
          <w:numId w:val="7"/>
        </w:numPr>
        <w:spacing w:before="120" w:line="360" w:lineRule="auto"/>
        <w:rPr>
          <w:rFonts w:ascii="Times New Roman" w:hAnsi="Times New Roman"/>
          <w:sz w:val="24"/>
          <w:szCs w:val="24"/>
          <w:lang/>
        </w:rPr>
      </w:pPr>
      <w:r w:rsidRPr="002F1B71">
        <w:rPr>
          <w:rFonts w:ascii="Times New Roman" w:hAnsi="Times New Roman"/>
          <w:sz w:val="24"/>
          <w:szCs w:val="24"/>
        </w:rPr>
        <w:t>Oprócz zgodności z regułami podanymi w Umowie, Przetwarzający zapewni zgodność z wymaganiami, o których jest mowa w Artykułach od 28 do 33 RODO. Przetwarzający w szczególności oświadcza, że wdrożył środki techniczne oraz organizacyjne, które są niezbędne do wykonania Umowy zgodnie z art. 32 RODO. Środki techniczne i organizacyjne, o których mowa w zdaniu poprzedzającym będą w szczególności zgodne z Artykułem 28 ust. 3 lit. c) oraz z art. 32 RODO w związku z Artykułem 5 ust. 1-2 RODO. Środki te związane są z bezpieczeństwem danych oraz i gwarantują poziom ochrony odpowiedni do ryzyka w zakresie poufności, integralności, dostępności oraz odporności bazy danych w tym Danych Osobowych zawartych w bazach danych Aparatury, z uwzględnieniem poziomu techniki, kosztów wdrażania, charakteru, zakresu oraz celów przetwarzania a także prawdopodobieństwa wystąpienia oraz skali ryzyka dla praw oraz swobód osób fizycznych w rozumieniu Artykułu 32 Paragraf 1 RODO (co opisano w Załączniku nr 1 do Umowy). Środki techniczne oraz organizacyjne są przedmiotem postępu technicznego oraz dalszego rozwoju, wobec czego Przetwarzający może wdrażać adekwatne środki alternatywne. Jednakże w takim wypadku nie może mieć miejsca obniżenie poziomu bezpieczeństwa określonych środków.</w:t>
      </w:r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Przetwarzający informuje, iż powołał Inspektora Ochrony Danych Osobowych: ……………………………….., tel. ………………., e-mail: </w:t>
      </w:r>
      <w:hyperlink r:id="rId7" w:history="1">
        <w:r w:rsidRPr="002F1B71">
          <w:rPr>
            <w:rStyle w:val="Hyperlink"/>
            <w:rFonts w:ascii="Times New Roman" w:hAnsi="Times New Roman"/>
            <w:sz w:val="24"/>
            <w:szCs w:val="24"/>
            <w:lang w:val="pl-PL"/>
          </w:rPr>
          <w:t>………………………….</w:t>
        </w:r>
      </w:hyperlink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Aktualne dane Inspektora Ochrony Danych Osobowych są dostępne na stronie internetowej Przetwarzającego. </w:t>
      </w:r>
    </w:p>
    <w:p w:rsidR="00EC7956" w:rsidRPr="002F1B71" w:rsidRDefault="00EC7956" w:rsidP="0032767F">
      <w:pPr>
        <w:pStyle w:val="Heading2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F1B71">
        <w:rPr>
          <w:rFonts w:ascii="Times New Roman" w:hAnsi="Times New Roman"/>
          <w:color w:val="auto"/>
          <w:sz w:val="24"/>
          <w:szCs w:val="24"/>
        </w:rPr>
        <w:t>Przetwarzający będzie prowadzić okresowe monitorowanie procesów wewnętrznych i Środków Technicznych oraz Organizacyjnych w celu zapewnienia aby przetwarzanie danych w jego obszarze odpowiedzialności było zgodne z wymagania obowiązującego prawa w zakresie ochrony danych oraz ochrony praw Podmiotu Danych (osoby, której dotyczą dane).</w:t>
      </w:r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Przetwarzający w ramach Umowy przetwarza Dane Osobowe wyłącznie na podstawie udokumentowanych poleceń lub instrukcji Powierzającego. Udokumentowanym poleceniem jest w szczególności zapotrzebowanie na wykonanie usług zgłaszane w ramach Umowy Podstawowej, co dotyczy w szczególności zgłoszeń w udostępnianych przez Przetwarzającego systemach obsługi zgłoszeń oraz zgłoszeń dokonywanych telefonicznie, a także zgłoszeń przesyłanych przez automatyczne systemy monitorujące.</w:t>
      </w:r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Przetwarzanie Danych Osobowych w ramach Umowy zostanie powierzone przez Przetwarzającego tylko takim jego pracownikom, którzy zostaną zobowiązani do zachowania poufności oraz którzy uprzednio zostali zapoznani z postanowieniami w zakresie ochrony danych związanych z ich pracą. Przetwarzający oraz każda osoba działająca z upoważnienia Przetwarzającego, która będzie posiadać dostęp do Danych Osobowych nie będzie przetwarzać tych Danych bez polecenia Powierzającego, chyba że wymagają tego obowiązujące przepisy prawa.</w:t>
      </w:r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Przetwarzanie Danych Osobowych nie będzie realizowane poza terenem Unii Europejskiej (UE) lub Kraju Członkowskiego Europejskiej Wspólnoty Gospodarczej lub kraju uznanego przez Komisję Europejską za zapewniający odpowiedni .poziom ochrony danych zgodnie z normami Europejskiej Wspólnoty Gospodarczej (pełna lista tych krajów jest dostępna </w:t>
      </w:r>
      <w:r w:rsidRPr="002F1B71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na stronie Komisji UE</w:t>
      </w:r>
      <w:hyperlink r:id="rId8" w:history="1">
        <w:r w:rsidRPr="002F1B71">
          <w:rPr>
            <w:rStyle w:val="Hyperlink"/>
            <w:rFonts w:ascii="Times New Roman" w:hAnsi="Times New Roman"/>
            <w:color w:val="0000FF"/>
            <w:sz w:val="24"/>
            <w:szCs w:val="24"/>
            <w:bdr w:val="none" w:sz="0" w:space="0" w:color="auto" w:frame="1"/>
            <w:lang w:val="pl-PL"/>
          </w:rPr>
          <w:t>: https://ec.europa.eu/info/law/law-topic/data-protection/data-transfers-outside-eu/adequacy-protection-personal-data-non-eu-countries_en</w:t>
        </w:r>
      </w:hyperlink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W trakcie wykonywania Umowy Przetwarzający będzie współpracować z organem nadzoru na wniosek tego organu. Przetwarzający będzie informował Powierzającego o wszelkich kontrolach oraz środkach podejmowanych przez organ nadzoru jeżeli mają one związek z Umową. </w:t>
      </w:r>
    </w:p>
    <w:p w:rsidR="00EC7956" w:rsidRPr="002F1B71" w:rsidRDefault="00EC7956" w:rsidP="0032767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Jeżeli Przetwarzający jest przedmiotem kontroli prowadzonej przez organ nadzoru, postępowania administracyjnego lub karnego z powodu przestępstwa lub wykroczenia, roszczenia wniesionego przez osobę, której dotyczą Dane Osobowe lub przez stronę trzecią w związku z przetwarzaniem Danych Osobowych przez Powierzającego, Przetwarzający dołoży wszelkich starań w celu wsparcia Powierzającego.</w:t>
      </w:r>
    </w:p>
    <w:p w:rsidR="00EC7956" w:rsidRDefault="00EC7956" w:rsidP="0032767F">
      <w:pPr>
        <w:pStyle w:val="ListParagraph"/>
        <w:spacing w:before="120" w:after="120" w:line="360" w:lineRule="auto"/>
        <w:ind w:left="284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spacing w:before="120" w:after="120" w:line="360" w:lineRule="auto"/>
        <w:ind w:left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§4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Poufność</w:t>
      </w:r>
    </w:p>
    <w:p w:rsidR="00EC7956" w:rsidRPr="002F1B71" w:rsidRDefault="00EC7956" w:rsidP="0032767F">
      <w:pPr>
        <w:pStyle w:val="ListParagraph"/>
        <w:numPr>
          <w:ilvl w:val="0"/>
          <w:numId w:val="13"/>
        </w:numPr>
        <w:spacing w:before="120" w:after="120" w:line="36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EC7956" w:rsidRPr="002F1B71" w:rsidRDefault="00EC7956" w:rsidP="0032767F">
      <w:pPr>
        <w:pStyle w:val="ListParagraph"/>
        <w:numPr>
          <w:ilvl w:val="0"/>
          <w:numId w:val="13"/>
        </w:numPr>
        <w:spacing w:before="120" w:after="120" w:line="36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EC7956" w:rsidRPr="002F1B71" w:rsidRDefault="00EC7956" w:rsidP="0032767F">
      <w:pPr>
        <w:pStyle w:val="ListParagraph"/>
        <w:numPr>
          <w:ilvl w:val="0"/>
          <w:numId w:val="13"/>
        </w:numPr>
        <w:spacing w:before="120" w:after="120" w:line="36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Treść wszystkich Danych Osobowych w tym danych wrażliwych objęta jest tajemnicą przedsiębiorstwa Przetwarzającego i nie może być udostępniana podmiotom trzecim, z wyłączeniem uprawnionych organów władzy publicznej.</w:t>
      </w:r>
    </w:p>
    <w:p w:rsidR="00EC7956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§5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Korekta, ograniczanie oraz usuwanie danych</w:t>
      </w:r>
    </w:p>
    <w:p w:rsidR="00EC7956" w:rsidRPr="002F1B71" w:rsidRDefault="00EC7956" w:rsidP="0032767F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Przetwarzający może usuwać lub ograniczać przetwarzanie Danych Osobowych jedynie na podstawie udokumentowanych poleceń od Powierzającego.</w:t>
      </w:r>
    </w:p>
    <w:p w:rsidR="00EC7956" w:rsidRPr="002F1B71" w:rsidRDefault="00EC7956" w:rsidP="0032767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Jeżeli Podmiot Danych (osoba, której dotyczą dane) skontaktuje się bezpośrednio z Przetwarzającym w związku z korektą, usunięciem lub ograniczeniem przetwarzania, Przetwarzający natychmiast przekaże Powierzającemu wniosek tego Podmiotu Danych.</w:t>
      </w:r>
    </w:p>
    <w:p w:rsidR="00EC7956" w:rsidRPr="002F1B71" w:rsidRDefault="00EC7956" w:rsidP="0032767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§6</w:t>
      </w:r>
    </w:p>
    <w:p w:rsidR="00EC7956" w:rsidRPr="002F1B71" w:rsidRDefault="00EC7956" w:rsidP="0032767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Dalsze powierzenie przetwarzania danych osobowych</w:t>
      </w:r>
    </w:p>
    <w:p w:rsidR="00EC7956" w:rsidRPr="002F1B71" w:rsidRDefault="00EC7956" w:rsidP="0032767F">
      <w:pPr>
        <w:pStyle w:val="ListParagraph"/>
        <w:numPr>
          <w:ilvl w:val="1"/>
          <w:numId w:val="2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Powierzający wyraża zgodę na korzystanie przez Przetwarzającego z usług innego podmiotu przetwarzającego (Dalszy Przetwarzający), z zastrzeżeniem, iż inny podmiot przetwarzający zobowiązany jest przetwarzać dane zgodnie z wymogami niniejszej umowy.</w:t>
      </w:r>
    </w:p>
    <w:p w:rsidR="00EC7956" w:rsidRPr="002F1B71" w:rsidRDefault="00EC7956" w:rsidP="0032767F">
      <w:pPr>
        <w:pStyle w:val="ListParagraph"/>
        <w:numPr>
          <w:ilvl w:val="1"/>
          <w:numId w:val="2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.Przetwarzający ponosi wobec Powierzającego pełną odpowiedzialność za działania i zaniechania Dalszego Przetwarzającego, jak za swoje działania i zaniechania.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§7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Uprawnienia Powierzającego w zakresie nadzoru</w:t>
      </w:r>
    </w:p>
    <w:p w:rsidR="00EC7956" w:rsidRPr="002F1B71" w:rsidRDefault="00EC7956" w:rsidP="0032767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Przetwarzający zapewni Administratorowi możliwość weryfikacji zgodności ze zobowiązaniami Przetwarzającego wynikających z art. 28 RODO. </w:t>
      </w:r>
    </w:p>
    <w:p w:rsidR="00EC7956" w:rsidRPr="002F1B71" w:rsidRDefault="00EC7956" w:rsidP="0032767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Powierzający ma prawo do przeprowadzania kontroli albo do powierzania ich wykonywania przez </w:t>
      </w:r>
      <w:r>
        <w:rPr>
          <w:rFonts w:ascii="Times New Roman" w:hAnsi="Times New Roman"/>
          <w:sz w:val="24"/>
          <w:szCs w:val="24"/>
          <w:lang w:val="pl-PL"/>
        </w:rPr>
        <w:t xml:space="preserve">niezależnego </w:t>
      </w:r>
      <w:r w:rsidRPr="002F1B71">
        <w:rPr>
          <w:rFonts w:ascii="Times New Roman" w:hAnsi="Times New Roman"/>
          <w:sz w:val="24"/>
          <w:szCs w:val="24"/>
          <w:lang w:val="pl-PL"/>
        </w:rPr>
        <w:t xml:space="preserve">audytora, który zostanie wyznaczony </w:t>
      </w:r>
      <w:r>
        <w:rPr>
          <w:rFonts w:ascii="Times New Roman" w:hAnsi="Times New Roman"/>
          <w:sz w:val="24"/>
          <w:szCs w:val="24"/>
          <w:lang w:val="pl-PL"/>
        </w:rPr>
        <w:t xml:space="preserve">wspólnie przez strony w </w:t>
      </w:r>
      <w:r w:rsidRPr="002F1B71">
        <w:rPr>
          <w:rFonts w:ascii="Times New Roman" w:hAnsi="Times New Roman"/>
          <w:sz w:val="24"/>
          <w:szCs w:val="24"/>
          <w:lang w:val="pl-PL"/>
        </w:rPr>
        <w:t>każdym wypadku. Przetwarzający zobowiązuje się, że dostarczy Powierzającemu, na jego żądanie niezbędnych informacji, a w szczególności dotyczących środków technicznych i organizacyjnych stosowanych przy przetwarzaniu Danych Osobowych.</w:t>
      </w:r>
    </w:p>
    <w:p w:rsidR="00EC7956" w:rsidRPr="002F1B71" w:rsidRDefault="00EC7956" w:rsidP="0032767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Powierzający będzie realizował prawo kontroli w dni robocze, w godzinach pracy Przetwarzającego </w:t>
      </w:r>
      <w:r w:rsidRPr="002F1B71">
        <w:rPr>
          <w:rFonts w:ascii="Times New Roman" w:hAnsi="Times New Roman"/>
          <w:sz w:val="24"/>
          <w:szCs w:val="24"/>
          <w:lang w:val="pl-PL"/>
        </w:rPr>
        <w:br/>
        <w:t xml:space="preserve">z co najmniej 7-dniowym wyprzedzeniem. Za dni robocze Strony uważać będą dni od poniedziałku </w:t>
      </w:r>
      <w:r w:rsidRPr="002F1B71">
        <w:rPr>
          <w:rFonts w:ascii="Times New Roman" w:hAnsi="Times New Roman"/>
          <w:sz w:val="24"/>
          <w:szCs w:val="24"/>
          <w:lang w:val="pl-PL"/>
        </w:rPr>
        <w:br/>
        <w:t xml:space="preserve">do piątku, z wyjątkiem dni ustawowo wolnych od pracy na terytorium Rzeczypospolitej Polskiej. </w:t>
      </w:r>
    </w:p>
    <w:p w:rsidR="00EC7956" w:rsidRPr="002F1B71" w:rsidRDefault="00EC7956" w:rsidP="0032767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Przetwarzający zobowiązuje się do usunięcia uchybień stwierdzonych podczas kontroli, w terminie wskazanym przez Powierzającego, który nie może jednak być krótszy niż 5 dni.</w:t>
      </w:r>
    </w:p>
    <w:p w:rsidR="00EC7956" w:rsidRDefault="00EC7956" w:rsidP="0032767F">
      <w:pPr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Kontrole będą odbywały się z zachowanie poufności, w tym w szczególności prowadzonej przez Powierzającego działalności gospodarczej, w zakresie przewidzianej prawem tajemnicy handlowej oraz zachowaniem prawa poufności w związku z przetwarzaniem danych (przez Przetwarzającego) na rzecz innych Powierzających lub Administratorów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C7956" w:rsidRPr="002F1B71" w:rsidRDefault="00EC7956" w:rsidP="0032767F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iCs/>
          <w:sz w:val="24"/>
          <w:szCs w:val="24"/>
          <w:lang w:val="pl-PL"/>
        </w:rPr>
        <w:t>§8</w:t>
      </w:r>
    </w:p>
    <w:p w:rsidR="00EC7956" w:rsidRPr="002F1B71" w:rsidRDefault="00EC7956" w:rsidP="0032767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iCs/>
          <w:sz w:val="24"/>
          <w:szCs w:val="24"/>
          <w:lang w:val="pl-PL"/>
        </w:rPr>
        <w:t>Komunikacja w przypadku naruszeń zasad przetwarzania Danych Osobowych</w:t>
      </w:r>
    </w:p>
    <w:p w:rsidR="00EC7956" w:rsidRPr="002F1B71" w:rsidRDefault="00EC7956" w:rsidP="0032767F">
      <w:pPr>
        <w:pStyle w:val="ListParagraph"/>
        <w:numPr>
          <w:ilvl w:val="1"/>
          <w:numId w:val="2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Przetwarzający powinien wspierać Powierzającego w zachowaniu zgodności ze zobowiązaniami w zakresie bezpieczeństwa danych osobowych, wymaganiami odnośnie zgłaszania naruszeń danych, </w:t>
      </w:r>
      <w:r w:rsidRPr="002F1B71">
        <w:rPr>
          <w:rStyle w:val="st"/>
          <w:rFonts w:ascii="Times New Roman" w:hAnsi="Times New Roman"/>
          <w:sz w:val="24"/>
          <w:szCs w:val="24"/>
          <w:lang w:val="pl-PL"/>
        </w:rPr>
        <w:t>oceny skutków dla ochrony danych</w:t>
      </w:r>
      <w:r w:rsidRPr="002F1B71">
        <w:rPr>
          <w:rFonts w:ascii="Times New Roman" w:hAnsi="Times New Roman"/>
          <w:sz w:val="24"/>
          <w:szCs w:val="24"/>
          <w:lang w:val="pl-PL"/>
        </w:rPr>
        <w:t>. Zakres ten obejmuje:</w:t>
      </w:r>
    </w:p>
    <w:p w:rsidR="00EC7956" w:rsidRPr="002F1B71" w:rsidRDefault="00EC7956" w:rsidP="0032767F">
      <w:pPr>
        <w:pStyle w:val="ListParagraph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zapewnienie odpowiedniego poziomu ochrony przez zastosowanie środków technicznych </w:t>
      </w:r>
      <w:r w:rsidRPr="002F1B71">
        <w:rPr>
          <w:rFonts w:ascii="Times New Roman" w:hAnsi="Times New Roman"/>
          <w:sz w:val="24"/>
          <w:szCs w:val="24"/>
          <w:lang w:val="pl-PL"/>
        </w:rPr>
        <w:br/>
        <w:t>oraz organizacyjnych z uwzględnieniem okoliczności oraz celów przetwarzania, a także projektowanego prawdopodobieństwa oraz skali ewentualnego naruszenia;</w:t>
      </w:r>
    </w:p>
    <w:p w:rsidR="00EC7956" w:rsidRPr="002F1B71" w:rsidRDefault="00EC7956" w:rsidP="0032767F">
      <w:pPr>
        <w:pStyle w:val="ListParagraph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obowiązek natychmiastowego (nie później niż w ciągu 24 godzin od wykrycia naruszenia) zgłaszania Powierzającemu naruszeń zasad przetwarzania Danych Osobowych; </w:t>
      </w:r>
    </w:p>
    <w:p w:rsidR="00EC7956" w:rsidRPr="002F1B71" w:rsidRDefault="00EC7956" w:rsidP="0032767F">
      <w:pPr>
        <w:pStyle w:val="ListParagraph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wspieranie Powierzającego w odniesieniu do obowiązków związanych z informowaniem zainteresowanego Podmiotu Danych (osoby, której dotyczą dane) oraz dostarczanie Powierzającemu wszystkich posiadanych informacji na ten temat, w terminie umożliwiającym terminowe wywiązanie się przez Powierzającego z obowiązków wynikających z przepisów prawa;</w:t>
      </w:r>
    </w:p>
    <w:p w:rsidR="00EC7956" w:rsidRPr="002F1B71" w:rsidRDefault="00EC7956" w:rsidP="0032767F">
      <w:pPr>
        <w:pStyle w:val="ListParagraph"/>
        <w:numPr>
          <w:ilvl w:val="0"/>
          <w:numId w:val="1"/>
        </w:numPr>
        <w:spacing w:before="120" w:after="120" w:line="360" w:lineRule="auto"/>
        <w:ind w:left="1134"/>
        <w:jc w:val="both"/>
        <w:rPr>
          <w:rStyle w:val="st"/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wspieranie Powierzającego w zakresie</w:t>
      </w:r>
      <w:r w:rsidRPr="002F1B71">
        <w:rPr>
          <w:rStyle w:val="Heading1Char"/>
          <w:rFonts w:ascii="Times New Roman" w:hAnsi="Times New Roman"/>
          <w:sz w:val="24"/>
          <w:szCs w:val="24"/>
          <w:lang w:val="pl-PL"/>
        </w:rPr>
        <w:t xml:space="preserve"> </w:t>
      </w:r>
      <w:r w:rsidRPr="002F1B71">
        <w:rPr>
          <w:rStyle w:val="st"/>
          <w:rFonts w:ascii="Times New Roman" w:hAnsi="Times New Roman"/>
          <w:sz w:val="24"/>
          <w:szCs w:val="24"/>
          <w:lang w:val="pl-PL"/>
        </w:rPr>
        <w:t>oceny skutków dla ochrony jego danych.</w:t>
      </w:r>
    </w:p>
    <w:p w:rsidR="00EC7956" w:rsidRPr="002F1B71" w:rsidRDefault="00EC7956" w:rsidP="0032767F">
      <w:pPr>
        <w:pStyle w:val="ListParagraph"/>
        <w:numPr>
          <w:ilvl w:val="1"/>
          <w:numId w:val="2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Powiadomienie o naruszeniu zasad przetwarzania danych może nastąpić drogą elektroniczną lub za pomocą środków porozumiewania się na odległość.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§9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Prawo Powierzającego do wydawania poleceń</w:t>
      </w:r>
    </w:p>
    <w:p w:rsidR="00EC7956" w:rsidRPr="002F1B71" w:rsidRDefault="00EC7956" w:rsidP="0032767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Polecenia wydane ustnie zostaną natychmiast potwierdzone przez Powierzającego minimum w formie wiadomości przesłanej pocztą elektroniczną.</w:t>
      </w:r>
    </w:p>
    <w:p w:rsidR="00EC7956" w:rsidRPr="002F1B71" w:rsidRDefault="00EC7956" w:rsidP="0032767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Przetwarzający niezwłocznie będzie informował Powierzającego w przypadku stwierdzenia, że dane polecenie narusza przepisy prawa w zakresie ochrony danych. W takim wypadku Przetwarzający ma prawo zawiesić wykonanie odnośnych poleceń do czasu ich potwierdzenia albo zmiany przez Powierzającego. </w:t>
      </w:r>
    </w:p>
    <w:p w:rsidR="00EC7956" w:rsidRPr="002F1B71" w:rsidRDefault="00EC7956" w:rsidP="0032767F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§10</w:t>
      </w:r>
    </w:p>
    <w:p w:rsidR="00EC7956" w:rsidRPr="002F1B71" w:rsidRDefault="00EC7956" w:rsidP="0032767F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Kasowanie oraz zwrot danych osobowych</w:t>
      </w:r>
    </w:p>
    <w:p w:rsidR="00EC7956" w:rsidRPr="002F1B71" w:rsidRDefault="00EC7956" w:rsidP="0032767F">
      <w:pPr>
        <w:pStyle w:val="ListParagraph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Przetwarzający nie będzie tworzył kopii Danych Osobowych bez wiedzy Powierzającego za wyjątkiem kopii zapasowych w zakresie koniecznym w celu zapewnienia właściwego przetwarzania danych. </w:t>
      </w:r>
    </w:p>
    <w:p w:rsidR="00EC7956" w:rsidRPr="002F1B71" w:rsidRDefault="00EC7956" w:rsidP="0032767F">
      <w:pPr>
        <w:pStyle w:val="ListParagraph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Po wygaśnięciu Umowy Przetwarzający przekaże Powierzającemu albo – za uprzednią zgodą Powierzającego – zniszczy wszystkie dokumenty, wyniki przetwarzania oraz wykorzystania oraz zbiory danych związane z Umową, które znalazły się w jego posiadaniu, w sposób zgodny z ochroną danych. Protokół zniszczenia lub usunięcia należy dostarczyć na żądanie Powierzającego.</w:t>
      </w:r>
    </w:p>
    <w:p w:rsidR="00EC7956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§11</w:t>
      </w:r>
    </w:p>
    <w:p w:rsidR="00EC7956" w:rsidRPr="002F1B71" w:rsidRDefault="00EC7956" w:rsidP="0032767F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F1B71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Celem uniknięcia jakichkolwiek wątpliwości, Strony ustalają, że wszelkie czynności podejmowane przez Przetwarzającego na podstawie Umowy wykonywane są w celu realizacji Umowy Podstawowej i nie podlegają dodatkowemu wynagrodzeniu.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Zmiany Umowy muszą być dokonywane piśmie pod rygorem nieważności.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Jeżeli poszczególne postanowienia Umowy staną się nieskuteczne albo niewykonalne po jej podpisaniu, nie będzie to miało wpływu na ważność pozostałych postanowień Umowy.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Postanowienie nieskuteczne albo niewykonalne należy zastąpić postanowieniem skutecznym oraz wykonalnym, najbardziej zbliżonym do celu ekonomicznego, do którego dążyły strony Umowy w ramach postanowienia nieważnego lub niewykonalnego. 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 xml:space="preserve">Umowa wchodzi w życie z dniem zawarcia i zastępuje wszystkie istniejące porozumienia Stron w zakresie powierzenia i zasad przetwarzania Danych Osobowych. </w:t>
      </w:r>
    </w:p>
    <w:p w:rsidR="00EC7956" w:rsidRPr="002F1B71" w:rsidRDefault="00EC7956" w:rsidP="0032767F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Sądem właściwym dla rozpatrzenia sporów wynikających z Umowy będzie sąd właściwy Powierzającego.</w:t>
      </w:r>
    </w:p>
    <w:p w:rsidR="00EC7956" w:rsidRDefault="00EC7956" w:rsidP="002F1B71">
      <w:pPr>
        <w:pStyle w:val="ListParagraph"/>
        <w:numPr>
          <w:ilvl w:val="1"/>
          <w:numId w:val="29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F1B71">
        <w:rPr>
          <w:rFonts w:ascii="Times New Roman" w:hAnsi="Times New Roman"/>
          <w:sz w:val="24"/>
          <w:szCs w:val="24"/>
          <w:lang w:val="pl-PL"/>
        </w:rPr>
        <w:t>Umowa została sporządzona w dwóch jednobrzmiących egzemplarzach dla każdej ze stron.</w:t>
      </w:r>
    </w:p>
    <w:p w:rsidR="00EC7956" w:rsidRDefault="00EC7956" w:rsidP="00BE10D0">
      <w:pPr>
        <w:pStyle w:val="ListParagraph"/>
        <w:spacing w:after="240" w:line="360" w:lineRule="auto"/>
        <w:ind w:left="79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Default="00EC7956" w:rsidP="00BE10D0">
      <w:pPr>
        <w:pStyle w:val="ListParagraph"/>
        <w:spacing w:after="240" w:line="360" w:lineRule="auto"/>
        <w:ind w:left="79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Pr="002F1B71" w:rsidRDefault="00EC7956" w:rsidP="00BE10D0">
      <w:pPr>
        <w:pStyle w:val="ListParagraph"/>
        <w:spacing w:after="240" w:line="360" w:lineRule="auto"/>
        <w:ind w:left="79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C7956" w:rsidRPr="002F1B71" w:rsidRDefault="00EC7956" w:rsidP="0032767F">
      <w:pPr>
        <w:tabs>
          <w:tab w:val="left" w:pos="5103"/>
        </w:tabs>
        <w:spacing w:before="120" w:after="120"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C7956" w:rsidRDefault="00EC7956" w:rsidP="0032767F">
      <w:pPr>
        <w:tabs>
          <w:tab w:val="left" w:pos="5103"/>
        </w:tabs>
        <w:spacing w:before="120" w:after="120"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2F1B71"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_________________________________</w:t>
      </w:r>
      <w:r w:rsidRPr="002F1B71">
        <w:rPr>
          <w:rFonts w:ascii="Times New Roman" w:hAnsi="Times New Roman"/>
          <w:color w:val="000000"/>
          <w:sz w:val="24"/>
          <w:szCs w:val="24"/>
          <w:lang w:val="pl-PL"/>
        </w:rPr>
        <w:tab/>
        <w:t>_________________________________</w:t>
      </w:r>
      <w:r w:rsidRPr="002F1B7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(Podpis / pieczątka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Administratora</w:t>
      </w:r>
      <w:r w:rsidRPr="002F1B71">
        <w:rPr>
          <w:rFonts w:ascii="Times New Roman" w:hAnsi="Times New Roman"/>
          <w:b/>
          <w:color w:val="000000"/>
          <w:sz w:val="24"/>
          <w:szCs w:val="24"/>
          <w:lang w:val="pl-PL"/>
        </w:rPr>
        <w:t>)</w:t>
      </w:r>
      <w:r w:rsidRPr="002F1B71"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 xml:space="preserve">(Podpis / pieczątka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Przetwarzającego</w:t>
      </w:r>
      <w:r w:rsidRPr="002F1B71">
        <w:rPr>
          <w:rFonts w:ascii="Times New Roman" w:hAnsi="Times New Roman"/>
          <w:b/>
          <w:color w:val="000000"/>
          <w:sz w:val="24"/>
          <w:szCs w:val="24"/>
          <w:lang w:val="pl-PL"/>
        </w:rPr>
        <w:t>)</w:t>
      </w:r>
    </w:p>
    <w:p w:rsidR="00EC7956" w:rsidRPr="002F1B71" w:rsidRDefault="00EC7956" w:rsidP="0032767F">
      <w:pPr>
        <w:tabs>
          <w:tab w:val="left" w:pos="5103"/>
        </w:tabs>
        <w:spacing w:before="120" w:after="120"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sectPr w:rsidR="00EC7956" w:rsidRPr="002F1B71" w:rsidSect="000C33D5">
      <w:headerReference w:type="default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56" w:rsidRDefault="00EC7956" w:rsidP="003E758A">
      <w:pPr>
        <w:spacing w:after="0" w:line="240" w:lineRule="auto"/>
      </w:pPr>
      <w:r>
        <w:separator/>
      </w:r>
    </w:p>
  </w:endnote>
  <w:endnote w:type="continuationSeparator" w:id="0">
    <w:p w:rsidR="00EC7956" w:rsidRDefault="00EC7956" w:rsidP="003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56" w:rsidRPr="00972B4C" w:rsidRDefault="00EC7956" w:rsidP="003A0F0B">
    <w:pPr>
      <w:pStyle w:val="Footer"/>
      <w:spacing w:after="200"/>
      <w:rPr>
        <w:rFonts w:cs="Calibri"/>
        <w:color w:val="000000"/>
        <w:sz w:val="16"/>
        <w:szCs w:val="16"/>
      </w:rPr>
    </w:pPr>
  </w:p>
  <w:p w:rsidR="00EC7956" w:rsidRPr="00FF2DC7" w:rsidRDefault="00EC7956" w:rsidP="00AE0456">
    <w:pPr>
      <w:pStyle w:val="Footer"/>
      <w:tabs>
        <w:tab w:val="left" w:pos="3686"/>
      </w:tabs>
      <w:spacing w:after="200"/>
      <w:rPr>
        <w:rFonts w:cs="Calibri"/>
        <w:lang/>
      </w:rPr>
    </w:pPr>
    <w:r w:rsidRPr="00FF2DC7">
      <w:rPr>
        <w:rFonts w:cs="Calibri"/>
        <w:color w:val="000000"/>
        <w:sz w:val="16"/>
        <w:szCs w:val="16"/>
        <w:lang/>
      </w:rPr>
      <w:tab/>
    </w:r>
    <w:r w:rsidRPr="00FF2DC7">
      <w:rPr>
        <w:rFonts w:cs="Calibri"/>
        <w:color w:val="000000"/>
        <w:sz w:val="16"/>
        <w:szCs w:val="16"/>
        <w:lang/>
      </w:rPr>
      <w:tab/>
    </w:r>
    <w:r>
      <w:rPr>
        <w:rFonts w:cs="Calibri"/>
        <w:color w:val="000000"/>
        <w:sz w:val="16"/>
        <w:szCs w:val="16"/>
        <w:lang/>
      </w:rPr>
      <w:t>Strona</w:t>
    </w:r>
    <w:r w:rsidRPr="00FF2DC7">
      <w:rPr>
        <w:rFonts w:cs="Calibri"/>
        <w:color w:val="000000"/>
        <w:sz w:val="16"/>
        <w:szCs w:val="16"/>
        <w:lang/>
      </w:rPr>
      <w:t xml:space="preserve"> </w: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begin"/>
    </w:r>
    <w:r w:rsidRPr="00FF2DC7">
      <w:rPr>
        <w:rStyle w:val="PageNumber"/>
        <w:rFonts w:ascii="Calibri" w:hAnsi="Calibri" w:cs="Calibri"/>
        <w:color w:val="000000"/>
        <w:szCs w:val="16"/>
        <w:lang/>
      </w:rPr>
      <w:instrText xml:space="preserve"> PAGE </w:instrTex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separate"/>
    </w:r>
    <w:r>
      <w:rPr>
        <w:rStyle w:val="PageNumber"/>
        <w:rFonts w:ascii="Calibri" w:hAnsi="Calibri" w:cs="Calibri"/>
        <w:noProof/>
        <w:color w:val="000000"/>
        <w:szCs w:val="16"/>
        <w:lang/>
      </w:rPr>
      <w:t>8</w: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end"/>
    </w:r>
    <w:r w:rsidRPr="00FF2DC7">
      <w:rPr>
        <w:rStyle w:val="PageNumber"/>
        <w:rFonts w:ascii="Calibri" w:hAnsi="Calibri" w:cs="Calibri"/>
        <w:color w:val="000000"/>
        <w:szCs w:val="16"/>
        <w:lang/>
      </w:rPr>
      <w:t xml:space="preserve"> </w:t>
    </w:r>
    <w:r>
      <w:rPr>
        <w:rStyle w:val="PageNumber"/>
        <w:rFonts w:ascii="Calibri" w:hAnsi="Calibri" w:cs="Calibri"/>
        <w:color w:val="000000"/>
        <w:szCs w:val="16"/>
        <w:lang/>
      </w:rPr>
      <w:t>/</w:t>
    </w:r>
    <w:r w:rsidRPr="00FF2DC7">
      <w:rPr>
        <w:rStyle w:val="PageNumber"/>
        <w:rFonts w:ascii="Calibri" w:hAnsi="Calibri" w:cs="Calibri"/>
        <w:color w:val="000000"/>
        <w:szCs w:val="16"/>
        <w:lang/>
      </w:rPr>
      <w:t xml:space="preserve"> </w: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begin"/>
    </w:r>
    <w:r w:rsidRPr="00FF2DC7">
      <w:rPr>
        <w:rStyle w:val="PageNumber"/>
        <w:rFonts w:ascii="Calibri" w:hAnsi="Calibri" w:cs="Calibri"/>
        <w:color w:val="000000"/>
        <w:szCs w:val="16"/>
        <w:lang/>
      </w:rPr>
      <w:instrText xml:space="preserve"> NUMPAGES </w:instrTex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separate"/>
    </w:r>
    <w:r>
      <w:rPr>
        <w:rStyle w:val="PageNumber"/>
        <w:rFonts w:ascii="Calibri" w:hAnsi="Calibri" w:cs="Calibri"/>
        <w:noProof/>
        <w:color w:val="000000"/>
        <w:szCs w:val="16"/>
        <w:lang/>
      </w:rPr>
      <w:t>9</w:t>
    </w:r>
    <w:r w:rsidRPr="00FF2DC7">
      <w:rPr>
        <w:rStyle w:val="PageNumber"/>
        <w:rFonts w:ascii="Calibri" w:hAnsi="Calibri" w:cs="Calibri"/>
        <w:color w:val="000000"/>
        <w:szCs w:val="16"/>
        <w:lang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56" w:rsidRDefault="00EC7956" w:rsidP="003E758A">
      <w:pPr>
        <w:spacing w:after="0" w:line="240" w:lineRule="auto"/>
      </w:pPr>
      <w:r>
        <w:separator/>
      </w:r>
    </w:p>
  </w:footnote>
  <w:footnote w:type="continuationSeparator" w:id="0">
    <w:p w:rsidR="00EC7956" w:rsidRDefault="00EC7956" w:rsidP="003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56" w:rsidRPr="00750D9B" w:rsidRDefault="00EC7956" w:rsidP="00750D9B">
    <w:pPr>
      <w:spacing w:line="276" w:lineRule="auto"/>
      <w:jc w:val="right"/>
      <w:rPr>
        <w:rFonts w:ascii="Times New Roman" w:hAnsi="Times New Roman"/>
        <w:b/>
        <w:sz w:val="24"/>
        <w:szCs w:val="24"/>
        <w:lang w:val="pl-PL" w:eastAsia="pl-PL"/>
      </w:rPr>
    </w:pPr>
    <w:bookmarkStart w:id="0" w:name="_GoBack"/>
    <w:r>
      <w:rPr>
        <w:rFonts w:ascii="Times New Roman" w:hAnsi="Times New Roman"/>
        <w:b/>
      </w:rPr>
      <w:t>Załącznik Nr 6</w:t>
    </w:r>
    <w:r w:rsidRPr="00750D9B">
      <w:rPr>
        <w:rFonts w:ascii="Times New Roman" w:hAnsi="Times New Roman"/>
        <w:b/>
      </w:rPr>
      <w:t xml:space="preserve"> do SIWZ</w:t>
    </w:r>
  </w:p>
  <w:bookmarkEnd w:id="0"/>
  <w:p w:rsidR="00EC7956" w:rsidRPr="00750D9B" w:rsidRDefault="00EC7956" w:rsidP="00750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B06BB6"/>
    <w:multiLevelType w:val="hybridMultilevel"/>
    <w:tmpl w:val="F23C94A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314F64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FCF6CCF"/>
    <w:multiLevelType w:val="hybridMultilevel"/>
    <w:tmpl w:val="66CE6A22"/>
    <w:lvl w:ilvl="0" w:tplc="94DEA5E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64AED"/>
    <w:multiLevelType w:val="hybridMultilevel"/>
    <w:tmpl w:val="B350858C"/>
    <w:lvl w:ilvl="0" w:tplc="4090661C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  <w:rPr>
        <w:rFonts w:cs="Times New Roman" w:hint="default"/>
      </w:rPr>
    </w:lvl>
    <w:lvl w:ilvl="3" w:tplc="04070017">
      <w:start w:val="1"/>
      <w:numFmt w:val="lowerLetter"/>
      <w:lvlText w:val="%4)"/>
      <w:lvlJc w:val="left"/>
      <w:pPr>
        <w:ind w:left="3240" w:hanging="720"/>
      </w:pPr>
      <w:rPr>
        <w:rFonts w:cs="Times New Roman" w:hint="default"/>
      </w:rPr>
    </w:lvl>
    <w:lvl w:ilvl="4" w:tplc="6A0A8B60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65A53E8"/>
    <w:multiLevelType w:val="hybridMultilevel"/>
    <w:tmpl w:val="D242E488"/>
    <w:lvl w:ilvl="0" w:tplc="1EB68DD6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8D5809"/>
    <w:multiLevelType w:val="hybridMultilevel"/>
    <w:tmpl w:val="23A03BF8"/>
    <w:lvl w:ilvl="0" w:tplc="46ACA55E">
      <w:start w:val="1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C0D95"/>
    <w:multiLevelType w:val="hybridMultilevel"/>
    <w:tmpl w:val="2084D426"/>
    <w:lvl w:ilvl="0" w:tplc="73B2DA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631F6"/>
    <w:multiLevelType w:val="hybridMultilevel"/>
    <w:tmpl w:val="D7707BE8"/>
    <w:lvl w:ilvl="0" w:tplc="023AC034">
      <w:start w:val="2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191C84"/>
    <w:multiLevelType w:val="hybridMultilevel"/>
    <w:tmpl w:val="17C41A28"/>
    <w:lvl w:ilvl="0" w:tplc="6F3CBF6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E8929CA"/>
    <w:multiLevelType w:val="hybridMultilevel"/>
    <w:tmpl w:val="74A0ACB4"/>
    <w:lvl w:ilvl="0" w:tplc="E59E76F2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E0F7D"/>
    <w:multiLevelType w:val="hybridMultilevel"/>
    <w:tmpl w:val="BF56D74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870113A"/>
    <w:multiLevelType w:val="hybridMultilevel"/>
    <w:tmpl w:val="04A8F568"/>
    <w:lvl w:ilvl="0" w:tplc="9C9ECB0C"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A065F0"/>
    <w:multiLevelType w:val="hybridMultilevel"/>
    <w:tmpl w:val="0F407F80"/>
    <w:lvl w:ilvl="0" w:tplc="BEEE42AC">
      <w:start w:val="1"/>
      <w:numFmt w:val="decimal"/>
      <w:lvlText w:val="7.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  <w:rPr>
        <w:rFonts w:cs="Times New Roman"/>
      </w:rPr>
    </w:lvl>
  </w:abstractNum>
  <w:abstractNum w:abstractNumId="26">
    <w:nsid w:val="6D6E5AFF"/>
    <w:multiLevelType w:val="hybridMultilevel"/>
    <w:tmpl w:val="0EC06248"/>
    <w:lvl w:ilvl="0" w:tplc="C952DF96">
      <w:start w:val="1"/>
      <w:numFmt w:val="decimal"/>
      <w:lvlText w:val="6.%1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754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25"/>
  </w:num>
  <w:num w:numId="5">
    <w:abstractNumId w:val="4"/>
  </w:num>
  <w:num w:numId="6">
    <w:abstractNumId w:val="17"/>
  </w:num>
  <w:num w:numId="7">
    <w:abstractNumId w:val="15"/>
  </w:num>
  <w:num w:numId="8">
    <w:abstractNumId w:val="26"/>
  </w:num>
  <w:num w:numId="9">
    <w:abstractNumId w:val="22"/>
  </w:num>
  <w:num w:numId="10">
    <w:abstractNumId w:val="23"/>
  </w:num>
  <w:num w:numId="11">
    <w:abstractNumId w:val="12"/>
  </w:num>
  <w:num w:numId="12">
    <w:abstractNumId w:val="16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19"/>
  </w:num>
  <w:num w:numId="18">
    <w:abstractNumId w:val="3"/>
  </w:num>
  <w:num w:numId="19">
    <w:abstractNumId w:val="28"/>
  </w:num>
  <w:num w:numId="20">
    <w:abstractNumId w:val="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21"/>
  </w:num>
  <w:num w:numId="26">
    <w:abstractNumId w:val="1"/>
  </w:num>
  <w:num w:numId="27">
    <w:abstractNumId w:val="20"/>
  </w:num>
  <w:num w:numId="28">
    <w:abstractNumId w:val="0"/>
  </w:num>
  <w:num w:numId="29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50"/>
    <w:rsid w:val="000048B9"/>
    <w:rsid w:val="00004DA5"/>
    <w:rsid w:val="0000617C"/>
    <w:rsid w:val="00016389"/>
    <w:rsid w:val="00031F10"/>
    <w:rsid w:val="000323D0"/>
    <w:rsid w:val="000346E6"/>
    <w:rsid w:val="00043ED2"/>
    <w:rsid w:val="00053CD8"/>
    <w:rsid w:val="00055A4B"/>
    <w:rsid w:val="0005615E"/>
    <w:rsid w:val="00062B1E"/>
    <w:rsid w:val="00065FC5"/>
    <w:rsid w:val="00074D58"/>
    <w:rsid w:val="00083B7D"/>
    <w:rsid w:val="00087B48"/>
    <w:rsid w:val="000A3059"/>
    <w:rsid w:val="000B7B55"/>
    <w:rsid w:val="000C33D5"/>
    <w:rsid w:val="000C3A68"/>
    <w:rsid w:val="000C6486"/>
    <w:rsid w:val="000D46A0"/>
    <w:rsid w:val="000F3012"/>
    <w:rsid w:val="00100904"/>
    <w:rsid w:val="00100DB2"/>
    <w:rsid w:val="00106013"/>
    <w:rsid w:val="00112CEE"/>
    <w:rsid w:val="001156A2"/>
    <w:rsid w:val="00122664"/>
    <w:rsid w:val="00122E69"/>
    <w:rsid w:val="00132297"/>
    <w:rsid w:val="00133A0D"/>
    <w:rsid w:val="0015541A"/>
    <w:rsid w:val="00156822"/>
    <w:rsid w:val="00160B7A"/>
    <w:rsid w:val="00167C6C"/>
    <w:rsid w:val="0017209C"/>
    <w:rsid w:val="0019331E"/>
    <w:rsid w:val="001951DD"/>
    <w:rsid w:val="001958D3"/>
    <w:rsid w:val="001A526D"/>
    <w:rsid w:val="001A6661"/>
    <w:rsid w:val="001A6918"/>
    <w:rsid w:val="001B020D"/>
    <w:rsid w:val="001C12F4"/>
    <w:rsid w:val="001C6430"/>
    <w:rsid w:val="00210947"/>
    <w:rsid w:val="00215FE3"/>
    <w:rsid w:val="002261B0"/>
    <w:rsid w:val="0023025F"/>
    <w:rsid w:val="002531D4"/>
    <w:rsid w:val="00271682"/>
    <w:rsid w:val="002758A8"/>
    <w:rsid w:val="0027662B"/>
    <w:rsid w:val="00285A70"/>
    <w:rsid w:val="002A0A1D"/>
    <w:rsid w:val="002A5C4C"/>
    <w:rsid w:val="002B359A"/>
    <w:rsid w:val="002B6433"/>
    <w:rsid w:val="002C0545"/>
    <w:rsid w:val="002C6A9C"/>
    <w:rsid w:val="002D01DF"/>
    <w:rsid w:val="002D1569"/>
    <w:rsid w:val="002D71C3"/>
    <w:rsid w:val="002E37D2"/>
    <w:rsid w:val="002E3862"/>
    <w:rsid w:val="002E7D41"/>
    <w:rsid w:val="002F1B71"/>
    <w:rsid w:val="002F2828"/>
    <w:rsid w:val="002F78B1"/>
    <w:rsid w:val="00321C73"/>
    <w:rsid w:val="00323F79"/>
    <w:rsid w:val="0032767F"/>
    <w:rsid w:val="00331302"/>
    <w:rsid w:val="00336FB1"/>
    <w:rsid w:val="00342883"/>
    <w:rsid w:val="00342DCF"/>
    <w:rsid w:val="0035423D"/>
    <w:rsid w:val="00360A2C"/>
    <w:rsid w:val="00372DE7"/>
    <w:rsid w:val="003752F8"/>
    <w:rsid w:val="00376E14"/>
    <w:rsid w:val="00382902"/>
    <w:rsid w:val="00384329"/>
    <w:rsid w:val="00395644"/>
    <w:rsid w:val="003957D5"/>
    <w:rsid w:val="003A0F0B"/>
    <w:rsid w:val="003A2450"/>
    <w:rsid w:val="003B5B0A"/>
    <w:rsid w:val="003B64FA"/>
    <w:rsid w:val="003E0E02"/>
    <w:rsid w:val="003E2874"/>
    <w:rsid w:val="003E758A"/>
    <w:rsid w:val="003F73B3"/>
    <w:rsid w:val="00410C9F"/>
    <w:rsid w:val="004112B3"/>
    <w:rsid w:val="00421B1E"/>
    <w:rsid w:val="0042763E"/>
    <w:rsid w:val="00440737"/>
    <w:rsid w:val="004474D5"/>
    <w:rsid w:val="0045193D"/>
    <w:rsid w:val="00465388"/>
    <w:rsid w:val="0047300C"/>
    <w:rsid w:val="00490E23"/>
    <w:rsid w:val="004B7F87"/>
    <w:rsid w:val="004C0FFC"/>
    <w:rsid w:val="004C2EAE"/>
    <w:rsid w:val="004D1940"/>
    <w:rsid w:val="004E5B95"/>
    <w:rsid w:val="004F2F6F"/>
    <w:rsid w:val="004F3DAA"/>
    <w:rsid w:val="004F3E5C"/>
    <w:rsid w:val="004F421D"/>
    <w:rsid w:val="00507B48"/>
    <w:rsid w:val="005167D0"/>
    <w:rsid w:val="005223F2"/>
    <w:rsid w:val="0052743D"/>
    <w:rsid w:val="0054053F"/>
    <w:rsid w:val="0054159C"/>
    <w:rsid w:val="00544212"/>
    <w:rsid w:val="0054461A"/>
    <w:rsid w:val="005472E2"/>
    <w:rsid w:val="00562332"/>
    <w:rsid w:val="00565C1C"/>
    <w:rsid w:val="005674F2"/>
    <w:rsid w:val="0057423E"/>
    <w:rsid w:val="00577938"/>
    <w:rsid w:val="005810A1"/>
    <w:rsid w:val="00587F7F"/>
    <w:rsid w:val="00593AA2"/>
    <w:rsid w:val="005A11B2"/>
    <w:rsid w:val="005A48CB"/>
    <w:rsid w:val="005A5967"/>
    <w:rsid w:val="005B379C"/>
    <w:rsid w:val="005B58B9"/>
    <w:rsid w:val="005C5A8F"/>
    <w:rsid w:val="005E3CD3"/>
    <w:rsid w:val="005E3D9D"/>
    <w:rsid w:val="005F7AD1"/>
    <w:rsid w:val="00601DFC"/>
    <w:rsid w:val="00607EBE"/>
    <w:rsid w:val="00612A3C"/>
    <w:rsid w:val="0064095C"/>
    <w:rsid w:val="006464B4"/>
    <w:rsid w:val="006503F5"/>
    <w:rsid w:val="00651E5A"/>
    <w:rsid w:val="006640AA"/>
    <w:rsid w:val="00665E5B"/>
    <w:rsid w:val="0066774E"/>
    <w:rsid w:val="00671A47"/>
    <w:rsid w:val="0068373A"/>
    <w:rsid w:val="00690037"/>
    <w:rsid w:val="006A632B"/>
    <w:rsid w:val="006B757A"/>
    <w:rsid w:val="006C2750"/>
    <w:rsid w:val="006F28C0"/>
    <w:rsid w:val="00701AAD"/>
    <w:rsid w:val="00712B2B"/>
    <w:rsid w:val="00712D81"/>
    <w:rsid w:val="007135C6"/>
    <w:rsid w:val="00723F41"/>
    <w:rsid w:val="00725888"/>
    <w:rsid w:val="00727D1D"/>
    <w:rsid w:val="0074642E"/>
    <w:rsid w:val="00747DD3"/>
    <w:rsid w:val="00750D9B"/>
    <w:rsid w:val="007644BA"/>
    <w:rsid w:val="00765A5A"/>
    <w:rsid w:val="00771156"/>
    <w:rsid w:val="0077692D"/>
    <w:rsid w:val="007B0BE9"/>
    <w:rsid w:val="007B6AE3"/>
    <w:rsid w:val="007D3815"/>
    <w:rsid w:val="007D692E"/>
    <w:rsid w:val="007D707D"/>
    <w:rsid w:val="007F37C0"/>
    <w:rsid w:val="0080146E"/>
    <w:rsid w:val="0080195F"/>
    <w:rsid w:val="00803DFB"/>
    <w:rsid w:val="00804F04"/>
    <w:rsid w:val="00815BC3"/>
    <w:rsid w:val="00833AEC"/>
    <w:rsid w:val="00843C68"/>
    <w:rsid w:val="00846625"/>
    <w:rsid w:val="00890F35"/>
    <w:rsid w:val="0089770B"/>
    <w:rsid w:val="008A0876"/>
    <w:rsid w:val="008B38EF"/>
    <w:rsid w:val="008B6B43"/>
    <w:rsid w:val="008E504D"/>
    <w:rsid w:val="008F415B"/>
    <w:rsid w:val="00904FAC"/>
    <w:rsid w:val="009162EA"/>
    <w:rsid w:val="009240F7"/>
    <w:rsid w:val="00926E50"/>
    <w:rsid w:val="00930F44"/>
    <w:rsid w:val="00933CEE"/>
    <w:rsid w:val="009352E4"/>
    <w:rsid w:val="00936D0C"/>
    <w:rsid w:val="009533A8"/>
    <w:rsid w:val="00956CFA"/>
    <w:rsid w:val="00972B4C"/>
    <w:rsid w:val="009C26AA"/>
    <w:rsid w:val="009E1DEC"/>
    <w:rsid w:val="009F6B3E"/>
    <w:rsid w:val="00A12C59"/>
    <w:rsid w:val="00A147DB"/>
    <w:rsid w:val="00A26FD5"/>
    <w:rsid w:val="00A36A8F"/>
    <w:rsid w:val="00A557ED"/>
    <w:rsid w:val="00A61301"/>
    <w:rsid w:val="00A76B18"/>
    <w:rsid w:val="00A925A8"/>
    <w:rsid w:val="00A96DDF"/>
    <w:rsid w:val="00AA4EAF"/>
    <w:rsid w:val="00AB6E2C"/>
    <w:rsid w:val="00AC1E62"/>
    <w:rsid w:val="00AC3BA3"/>
    <w:rsid w:val="00AE0456"/>
    <w:rsid w:val="00AE2571"/>
    <w:rsid w:val="00AF1F3C"/>
    <w:rsid w:val="00AF3530"/>
    <w:rsid w:val="00B03187"/>
    <w:rsid w:val="00B1379F"/>
    <w:rsid w:val="00B150A3"/>
    <w:rsid w:val="00B31BD4"/>
    <w:rsid w:val="00B322AA"/>
    <w:rsid w:val="00B36C3F"/>
    <w:rsid w:val="00B53921"/>
    <w:rsid w:val="00B5736E"/>
    <w:rsid w:val="00B65747"/>
    <w:rsid w:val="00B96BFA"/>
    <w:rsid w:val="00BA66A8"/>
    <w:rsid w:val="00BA6A4C"/>
    <w:rsid w:val="00BB4D58"/>
    <w:rsid w:val="00BB5378"/>
    <w:rsid w:val="00BE10D0"/>
    <w:rsid w:val="00BE51E2"/>
    <w:rsid w:val="00BF3079"/>
    <w:rsid w:val="00C06EDE"/>
    <w:rsid w:val="00C14E45"/>
    <w:rsid w:val="00C21971"/>
    <w:rsid w:val="00C24AAC"/>
    <w:rsid w:val="00C259F9"/>
    <w:rsid w:val="00C260E2"/>
    <w:rsid w:val="00C3477B"/>
    <w:rsid w:val="00C42D4F"/>
    <w:rsid w:val="00C563C5"/>
    <w:rsid w:val="00C7241F"/>
    <w:rsid w:val="00C73ABF"/>
    <w:rsid w:val="00C90561"/>
    <w:rsid w:val="00C938C4"/>
    <w:rsid w:val="00C94453"/>
    <w:rsid w:val="00C97E1A"/>
    <w:rsid w:val="00CA68F1"/>
    <w:rsid w:val="00CA7F84"/>
    <w:rsid w:val="00CB2F74"/>
    <w:rsid w:val="00CB55D4"/>
    <w:rsid w:val="00CC4355"/>
    <w:rsid w:val="00CD77A6"/>
    <w:rsid w:val="00CE5C60"/>
    <w:rsid w:val="00CF3BE2"/>
    <w:rsid w:val="00D054AD"/>
    <w:rsid w:val="00D1525C"/>
    <w:rsid w:val="00D4130E"/>
    <w:rsid w:val="00D44948"/>
    <w:rsid w:val="00D5106B"/>
    <w:rsid w:val="00D52AAF"/>
    <w:rsid w:val="00D5591B"/>
    <w:rsid w:val="00D57F6B"/>
    <w:rsid w:val="00D64E75"/>
    <w:rsid w:val="00D8452B"/>
    <w:rsid w:val="00D87CB1"/>
    <w:rsid w:val="00D925F3"/>
    <w:rsid w:val="00DA43F3"/>
    <w:rsid w:val="00DB2F68"/>
    <w:rsid w:val="00DB37D1"/>
    <w:rsid w:val="00DB4A68"/>
    <w:rsid w:val="00DB4AE1"/>
    <w:rsid w:val="00DC066A"/>
    <w:rsid w:val="00DC104C"/>
    <w:rsid w:val="00DE2756"/>
    <w:rsid w:val="00DE4084"/>
    <w:rsid w:val="00DF4C0E"/>
    <w:rsid w:val="00DF5C28"/>
    <w:rsid w:val="00E154CA"/>
    <w:rsid w:val="00E26493"/>
    <w:rsid w:val="00E33F6E"/>
    <w:rsid w:val="00E35C5C"/>
    <w:rsid w:val="00E45DCF"/>
    <w:rsid w:val="00E53353"/>
    <w:rsid w:val="00EA4194"/>
    <w:rsid w:val="00EB4BD3"/>
    <w:rsid w:val="00EC08CC"/>
    <w:rsid w:val="00EC7956"/>
    <w:rsid w:val="00ED3F3C"/>
    <w:rsid w:val="00EF5370"/>
    <w:rsid w:val="00EF6293"/>
    <w:rsid w:val="00F02848"/>
    <w:rsid w:val="00F04443"/>
    <w:rsid w:val="00F06266"/>
    <w:rsid w:val="00F06D7C"/>
    <w:rsid w:val="00F22126"/>
    <w:rsid w:val="00F249E2"/>
    <w:rsid w:val="00F34F10"/>
    <w:rsid w:val="00F4091F"/>
    <w:rsid w:val="00F5787D"/>
    <w:rsid w:val="00F65C84"/>
    <w:rsid w:val="00F662B8"/>
    <w:rsid w:val="00F66378"/>
    <w:rsid w:val="00F7527F"/>
    <w:rsid w:val="00F854D9"/>
    <w:rsid w:val="00FB1936"/>
    <w:rsid w:val="00FF2DC7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56"/>
    <w:pPr>
      <w:spacing w:after="160" w:line="259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75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0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750"/>
    <w:pPr>
      <w:keepNext/>
      <w:keepLines/>
      <w:spacing w:before="40" w:after="0"/>
      <w:outlineLvl w:val="5"/>
    </w:pPr>
    <w:rPr>
      <w:rFonts w:ascii="Calibri Light" w:hAnsi="Calibri Light"/>
      <w:color w:val="1F4D78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750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104C"/>
    <w:rPr>
      <w:rFonts w:ascii="Calibri Light" w:hAnsi="Calibri Light"/>
      <w:color w:val="2E74B5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750"/>
    <w:rPr>
      <w:rFonts w:ascii="Calibri Light" w:hAnsi="Calibri Light"/>
      <w:color w:val="1F4D78"/>
    </w:rPr>
  </w:style>
  <w:style w:type="paragraph" w:styleId="BodyText">
    <w:name w:val="Body Text"/>
    <w:basedOn w:val="Normal"/>
    <w:link w:val="BodyTextChar"/>
    <w:uiPriority w:val="99"/>
    <w:rsid w:val="006C2750"/>
    <w:pPr>
      <w:spacing w:after="140" w:line="288" w:lineRule="auto"/>
    </w:pPr>
    <w:rPr>
      <w:sz w:val="20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750"/>
  </w:style>
  <w:style w:type="paragraph" w:styleId="BodyTextIndent3">
    <w:name w:val="Body Text Indent 3"/>
    <w:basedOn w:val="Normal"/>
    <w:link w:val="BodyTextIndent3Char"/>
    <w:uiPriority w:val="99"/>
    <w:semiHidden/>
    <w:rsid w:val="006C2750"/>
    <w:pPr>
      <w:spacing w:after="120" w:line="276" w:lineRule="auto"/>
      <w:ind w:left="283"/>
    </w:pPr>
    <w:rPr>
      <w:sz w:val="16"/>
      <w:szCs w:val="20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C2750"/>
    <w:rPr>
      <w:sz w:val="16"/>
    </w:rPr>
  </w:style>
  <w:style w:type="paragraph" w:styleId="Footer">
    <w:name w:val="footer"/>
    <w:basedOn w:val="Normal"/>
    <w:link w:val="FooterChar"/>
    <w:uiPriority w:val="99"/>
    <w:rsid w:val="006C27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750"/>
  </w:style>
  <w:style w:type="character" w:styleId="CommentReference">
    <w:name w:val="annotation reference"/>
    <w:basedOn w:val="DefaultParagraphFont"/>
    <w:uiPriority w:val="99"/>
    <w:semiHidden/>
    <w:rsid w:val="006C2750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6C2750"/>
    <w:pPr>
      <w:spacing w:after="120" w:line="480" w:lineRule="auto"/>
    </w:pPr>
    <w:rPr>
      <w:sz w:val="20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750"/>
  </w:style>
  <w:style w:type="paragraph" w:styleId="Header">
    <w:name w:val="header"/>
    <w:basedOn w:val="Normal"/>
    <w:link w:val="HeaderChar"/>
    <w:uiPriority w:val="99"/>
    <w:rsid w:val="006C27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2750"/>
  </w:style>
  <w:style w:type="paragraph" w:styleId="ListParagraph">
    <w:name w:val="List Paragraph"/>
    <w:basedOn w:val="Normal"/>
    <w:uiPriority w:val="99"/>
    <w:qFormat/>
    <w:rsid w:val="006C275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6C2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locked/>
    <w:rsid w:val="006C2750"/>
    <w:rPr>
      <w:b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C2750"/>
    <w:pPr>
      <w:spacing w:line="240" w:lineRule="auto"/>
    </w:pPr>
    <w:rPr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2750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6C2750"/>
    <w:pPr>
      <w:spacing w:after="200"/>
    </w:pPr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Pr>
      <w:b/>
      <w:lang w:val="de-DE" w:eastAsia="en-US"/>
    </w:rPr>
  </w:style>
  <w:style w:type="character" w:customStyle="1" w:styleId="KommentarthemaZchn1">
    <w:name w:val="Kommentarthema Zchn1"/>
    <w:uiPriority w:val="99"/>
    <w:semiHidden/>
    <w:rsid w:val="006C2750"/>
    <w:rPr>
      <w:b/>
      <w:sz w:val="20"/>
    </w:rPr>
  </w:style>
  <w:style w:type="character" w:styleId="Hyperlink">
    <w:name w:val="Hyperlink"/>
    <w:basedOn w:val="DefaultParagraphFont"/>
    <w:uiPriority w:val="99"/>
    <w:rsid w:val="00A557ED"/>
    <w:rPr>
      <w:rFonts w:cs="Times New Roman"/>
      <w:color w:val="0563C1"/>
      <w:u w:val="single"/>
    </w:rPr>
  </w:style>
  <w:style w:type="character" w:styleId="PageNumber">
    <w:name w:val="page number"/>
    <w:basedOn w:val="DefaultParagraphFont"/>
    <w:uiPriority w:val="99"/>
    <w:rsid w:val="003E758A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B757A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57A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6B757A"/>
    <w:rPr>
      <w:color w:val="808080"/>
      <w:shd w:val="clear" w:color="auto" w:fill="E6E6E6"/>
    </w:rPr>
  </w:style>
  <w:style w:type="character" w:customStyle="1" w:styleId="st">
    <w:name w:val="st"/>
    <w:uiPriority w:val="99"/>
    <w:rsid w:val="003B5B0A"/>
  </w:style>
  <w:style w:type="paragraph" w:styleId="FootnoteText">
    <w:name w:val="footnote text"/>
    <w:basedOn w:val="Normal"/>
    <w:link w:val="FootnoteTextChar"/>
    <w:uiPriority w:val="99"/>
    <w:semiHidden/>
    <w:rsid w:val="00053CD8"/>
    <w:pPr>
      <w:spacing w:after="0" w:line="240" w:lineRule="auto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CD8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053CD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925F3"/>
    <w:rPr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law-topic/data-protection/data-transfers-outside-eu/adequacy-protection-personal-data-non-eu-countries_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slaw.obszynski@cg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2170</Words>
  <Characters>13024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dc:description/>
  <cp:lastModifiedBy>Michał</cp:lastModifiedBy>
  <cp:revision>2</cp:revision>
  <cp:lastPrinted>2019-01-17T07:09:00Z</cp:lastPrinted>
  <dcterms:created xsi:type="dcterms:W3CDTF">2019-09-12T08:11:00Z</dcterms:created>
  <dcterms:modified xsi:type="dcterms:W3CDTF">2019-09-12T08:11:00Z</dcterms:modified>
</cp:coreProperties>
</file>